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02BFBB" w14:textId="5576107E" w:rsidR="008D417B" w:rsidRPr="0076660D" w:rsidRDefault="008D417B" w:rsidP="008D417B">
      <w:pPr>
        <w:pStyle w:val="Header"/>
        <w:tabs>
          <w:tab w:val="clear" w:pos="4153"/>
          <w:tab w:val="clear" w:pos="8306"/>
          <w:tab w:val="right" w:pos="9026"/>
        </w:tabs>
        <w:rPr>
          <w:b/>
          <w:color w:val="FF0000"/>
          <w:sz w:val="24"/>
        </w:rPr>
      </w:pPr>
      <w:bookmarkStart w:id="0" w:name="_Hlk512609091"/>
      <w:r>
        <w:rPr>
          <w:b/>
          <w:sz w:val="24"/>
        </w:rPr>
        <w:t>3GPP TSG-RAN WG1 Meeting #102-e</w:t>
      </w:r>
      <w:r>
        <w:rPr>
          <w:b/>
          <w:sz w:val="24"/>
        </w:rPr>
        <w:tab/>
      </w:r>
      <w:r w:rsidRPr="00101E9D">
        <w:rPr>
          <w:b/>
          <w:sz w:val="24"/>
        </w:rPr>
        <w:t>R1-</w:t>
      </w:r>
      <w:r>
        <w:rPr>
          <w:b/>
          <w:sz w:val="24"/>
        </w:rPr>
        <w:t>20</w:t>
      </w:r>
      <w:r w:rsidR="001B28E6">
        <w:rPr>
          <w:b/>
          <w:sz w:val="24"/>
        </w:rPr>
        <w:t>06006</w:t>
      </w:r>
    </w:p>
    <w:p w14:paraId="0C8240E7" w14:textId="77777777" w:rsidR="008D417B" w:rsidRPr="00BC0557" w:rsidRDefault="008D417B" w:rsidP="008D417B">
      <w:pPr>
        <w:pStyle w:val="Header"/>
        <w:rPr>
          <w:b/>
          <w:sz w:val="24"/>
        </w:rPr>
      </w:pPr>
      <w:r>
        <w:rPr>
          <w:b/>
          <w:sz w:val="24"/>
        </w:rPr>
        <w:t>e-Meeting, August 17 – 28, 2020</w:t>
      </w:r>
    </w:p>
    <w:bookmarkEnd w:id="0"/>
    <w:p w14:paraId="776F4C14" w14:textId="77777777" w:rsidR="00443FFF" w:rsidRDefault="00443FFF" w:rsidP="00443FFF"/>
    <w:p w14:paraId="03C6A536" w14:textId="12EEEDE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Pr="00D4735E">
        <w:t>7.2.4.</w:t>
      </w:r>
      <w:r w:rsidR="009B1DF9">
        <w:t>6</w:t>
      </w:r>
    </w:p>
    <w:p w14:paraId="06A83340" w14:textId="60B320E8" w:rsidR="00BC0557" w:rsidRPr="00D1518D" w:rsidRDefault="00BC0557" w:rsidP="00BC0557">
      <w:pPr>
        <w:tabs>
          <w:tab w:val="left" w:pos="1701"/>
        </w:tabs>
        <w:spacing w:after="60"/>
        <w:rPr>
          <w:bCs/>
          <w:color w:val="000000" w:themeColor="text1"/>
        </w:rPr>
      </w:pPr>
      <w:r w:rsidRPr="000606B7">
        <w:rPr>
          <w:b/>
          <w:color w:val="000000" w:themeColor="text1"/>
          <w:sz w:val="22"/>
        </w:rPr>
        <w:t>Title:</w:t>
      </w:r>
      <w:r w:rsidRPr="000606B7">
        <w:rPr>
          <w:b/>
          <w:color w:val="000000" w:themeColor="text1"/>
        </w:rPr>
        <w:tab/>
      </w:r>
      <w:r w:rsidR="00582FFA" w:rsidRPr="00582FFA">
        <w:rPr>
          <w:color w:val="000000" w:themeColor="text1"/>
        </w:rPr>
        <w:t xml:space="preserve">Remaining open issues </w:t>
      </w:r>
      <w:r w:rsidR="00416EEC">
        <w:rPr>
          <w:color w:val="000000" w:themeColor="text1"/>
        </w:rPr>
        <w:t>i</w:t>
      </w:r>
      <w:r w:rsidR="00582FFA" w:rsidRPr="00582FFA">
        <w:rPr>
          <w:color w:val="000000" w:themeColor="text1"/>
        </w:rPr>
        <w:t>n QoS</w:t>
      </w:r>
      <w:r w:rsidR="001B28E6">
        <w:rPr>
          <w:color w:val="000000" w:themeColor="text1"/>
        </w:rPr>
        <w:t xml:space="preserve"> management</w:t>
      </w:r>
    </w:p>
    <w:p w14:paraId="7DC2E3DB" w14:textId="264EE6D6"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Pr="00E93218" w:rsidRDefault="00BC0557" w:rsidP="00BC0557">
      <w:pPr>
        <w:pBdr>
          <w:bottom w:val="single" w:sz="4" w:space="1" w:color="auto"/>
        </w:pBdr>
        <w:rPr>
          <w:sz w:val="18"/>
        </w:rPr>
      </w:pPr>
    </w:p>
    <w:p w14:paraId="3146754E" w14:textId="77777777" w:rsidR="00BC0557" w:rsidRPr="005C288B" w:rsidRDefault="00BC0557" w:rsidP="00BC0557">
      <w:pPr>
        <w:rPr>
          <w:sz w:val="20"/>
        </w:rPr>
      </w:pPr>
    </w:p>
    <w:p w14:paraId="770EF4D8" w14:textId="77777777" w:rsidR="00BC0557" w:rsidRPr="00BC0557" w:rsidRDefault="00BC0557" w:rsidP="00BC0557">
      <w:pPr>
        <w:spacing w:after="120"/>
        <w:rPr>
          <w:b/>
          <w:sz w:val="22"/>
        </w:rPr>
      </w:pPr>
      <w:r w:rsidRPr="00BC0557">
        <w:rPr>
          <w:b/>
          <w:sz w:val="22"/>
        </w:rPr>
        <w:t>1. Introduction</w:t>
      </w:r>
    </w:p>
    <w:p w14:paraId="6B84D708" w14:textId="1912EBCF" w:rsidR="00D562C7" w:rsidRPr="00582FFA" w:rsidRDefault="00582FFA" w:rsidP="00740B19">
      <w:pPr>
        <w:pStyle w:val="BodyText"/>
        <w:spacing w:after="120"/>
        <w:rPr>
          <w:color w:val="000000" w:themeColor="text1"/>
          <w:sz w:val="20"/>
          <w:szCs w:val="20"/>
        </w:rPr>
      </w:pPr>
      <w:r>
        <w:rPr>
          <w:color w:val="000000" w:themeColor="text1"/>
          <w:sz w:val="20"/>
          <w:szCs w:val="20"/>
        </w:rPr>
        <w:t>During the last RAN1#10</w:t>
      </w:r>
      <w:r w:rsidR="007C5331">
        <w:rPr>
          <w:color w:val="000000" w:themeColor="text1"/>
          <w:sz w:val="20"/>
          <w:szCs w:val="20"/>
        </w:rPr>
        <w:t>1</w:t>
      </w:r>
      <w:r>
        <w:rPr>
          <w:color w:val="000000" w:themeColor="text1"/>
          <w:sz w:val="20"/>
          <w:szCs w:val="20"/>
        </w:rPr>
        <w:t xml:space="preserve">-e meeting, </w:t>
      </w:r>
      <w:r w:rsidR="00AC6DAA">
        <w:rPr>
          <w:color w:val="000000" w:themeColor="text1"/>
          <w:sz w:val="20"/>
          <w:szCs w:val="20"/>
        </w:rPr>
        <w:t>some</w:t>
      </w:r>
      <w:r>
        <w:rPr>
          <w:color w:val="000000" w:themeColor="text1"/>
          <w:sz w:val="20"/>
          <w:szCs w:val="20"/>
        </w:rPr>
        <w:t xml:space="preserve"> of remaining issues on congestion control for NR-V2X are resolved. However, </w:t>
      </w:r>
      <w:r w:rsidR="00AC6DAA">
        <w:rPr>
          <w:color w:val="000000" w:themeColor="text1"/>
          <w:sz w:val="20"/>
          <w:szCs w:val="20"/>
        </w:rPr>
        <w:t>one</w:t>
      </w:r>
      <w:r>
        <w:rPr>
          <w:color w:val="000000" w:themeColor="text1"/>
          <w:sz w:val="20"/>
          <w:szCs w:val="20"/>
        </w:rPr>
        <w:t xml:space="preserve"> other small detail </w:t>
      </w:r>
      <w:r w:rsidR="00AC6DAA">
        <w:rPr>
          <w:color w:val="000000" w:themeColor="text1"/>
          <w:sz w:val="20"/>
          <w:szCs w:val="20"/>
        </w:rPr>
        <w:t xml:space="preserve">on whether CBR-based sidelink power control in mode 1 should be supported is still remaining. </w:t>
      </w:r>
      <w:r w:rsidRPr="000245F2">
        <w:rPr>
          <w:color w:val="000000" w:themeColor="text1"/>
          <w:sz w:val="20"/>
        </w:rPr>
        <w:t xml:space="preserve">In this contribution, </w:t>
      </w:r>
      <w:r w:rsidR="00AC6DAA">
        <w:rPr>
          <w:color w:val="000000" w:themeColor="text1"/>
          <w:sz w:val="20"/>
        </w:rPr>
        <w:t xml:space="preserve">we </w:t>
      </w:r>
      <w:r w:rsidRPr="000245F2">
        <w:rPr>
          <w:color w:val="000000" w:themeColor="text1"/>
          <w:sz w:val="20"/>
        </w:rPr>
        <w:t>briefly discuss th</w:t>
      </w:r>
      <w:r w:rsidR="00AC6DAA">
        <w:rPr>
          <w:color w:val="000000" w:themeColor="text1"/>
          <w:sz w:val="20"/>
        </w:rPr>
        <w:t>is</w:t>
      </w:r>
      <w:r w:rsidRPr="000245F2">
        <w:rPr>
          <w:color w:val="000000" w:themeColor="text1"/>
          <w:sz w:val="20"/>
        </w:rPr>
        <w:t xml:space="preserve"> remaining aspect</w:t>
      </w:r>
      <w:r w:rsidR="00AC6DAA">
        <w:rPr>
          <w:color w:val="000000" w:themeColor="text1"/>
          <w:sz w:val="20"/>
        </w:rPr>
        <w:t xml:space="preserve"> of QoS management</w:t>
      </w:r>
      <w:r w:rsidRPr="000245F2">
        <w:rPr>
          <w:color w:val="000000" w:themeColor="text1"/>
          <w:sz w:val="20"/>
        </w:rPr>
        <w:t>.</w:t>
      </w:r>
    </w:p>
    <w:p w14:paraId="4D852517" w14:textId="18A9D908" w:rsidR="00695CCB" w:rsidRPr="00695CCB" w:rsidRDefault="007E0507" w:rsidP="00132CA4">
      <w:pPr>
        <w:pStyle w:val="Heading1"/>
        <w:numPr>
          <w:ilvl w:val="0"/>
          <w:numId w:val="0"/>
        </w:numPr>
        <w:rPr>
          <w:sz w:val="22"/>
        </w:rPr>
      </w:pPr>
      <w:r>
        <w:rPr>
          <w:sz w:val="22"/>
        </w:rPr>
        <w:t>2</w:t>
      </w:r>
      <w:r w:rsidR="00132CA4">
        <w:rPr>
          <w:sz w:val="22"/>
        </w:rPr>
        <w:t xml:space="preserve">. </w:t>
      </w:r>
      <w:r w:rsidR="00582FFA">
        <w:rPr>
          <w:sz w:val="22"/>
        </w:rPr>
        <w:t>Discussion</w:t>
      </w:r>
    </w:p>
    <w:p w14:paraId="39EEBE70" w14:textId="11AA1AA1" w:rsidR="00B65BF9" w:rsidRPr="00A220C6" w:rsidRDefault="00B65BF9" w:rsidP="00B65BF9">
      <w:pPr>
        <w:spacing w:before="240" w:after="120"/>
        <w:rPr>
          <w:b/>
          <w:i/>
          <w:color w:val="000000" w:themeColor="text1"/>
          <w:sz w:val="20"/>
          <w:szCs w:val="20"/>
          <w:u w:val="single"/>
        </w:rPr>
      </w:pPr>
      <w:r w:rsidRPr="00B65BF9">
        <w:rPr>
          <w:b/>
          <w:i/>
          <w:color w:val="000000" w:themeColor="text1"/>
          <w:sz w:val="20"/>
          <w:szCs w:val="20"/>
          <w:u w:val="single"/>
        </w:rPr>
        <w:t>CBR-based sidelink power control in mode 1</w:t>
      </w:r>
    </w:p>
    <w:p w14:paraId="170C993E" w14:textId="11D5C31D" w:rsidR="00B65BF9" w:rsidRDefault="00AC6DAA" w:rsidP="00B65BF9">
      <w:pPr>
        <w:pStyle w:val="BodyText"/>
        <w:spacing w:after="240"/>
        <w:rPr>
          <w:rFonts w:eastAsiaTheme="minorEastAsia"/>
          <w:color w:val="000000" w:themeColor="text1"/>
          <w:sz w:val="20"/>
        </w:rPr>
      </w:pPr>
      <w:r>
        <w:rPr>
          <w:rFonts w:eastAsiaTheme="minorEastAsia"/>
          <w:color w:val="000000" w:themeColor="text1"/>
          <w:sz w:val="20"/>
        </w:rPr>
        <w:t xml:space="preserve">According to the current power control description for PSSCH in Sec. 16.2.1 in TS 38.213 (copied in parts below), as also mentioned in [1], that it appears that CBR-based power control should be applied regardless of mode 1 or mode 2. </w:t>
      </w:r>
    </w:p>
    <w:tbl>
      <w:tblPr>
        <w:tblStyle w:val="TableGrid"/>
        <w:tblW w:w="0" w:type="auto"/>
        <w:tblLook w:val="04A0" w:firstRow="1" w:lastRow="0" w:firstColumn="1" w:lastColumn="0" w:noHBand="0" w:noVBand="1"/>
      </w:tblPr>
      <w:tblGrid>
        <w:gridCol w:w="9016"/>
      </w:tblGrid>
      <w:tr w:rsidR="00AC6DAA" w14:paraId="0593FD7F" w14:textId="77777777" w:rsidTr="00AC6DAA">
        <w:tc>
          <w:tcPr>
            <w:tcW w:w="9016" w:type="dxa"/>
          </w:tcPr>
          <w:p w14:paraId="139C0483" w14:textId="2D5B4F95" w:rsidR="00AC6DAA" w:rsidRPr="00AC6DAA" w:rsidRDefault="00AC6DAA" w:rsidP="00AC6DAA">
            <w:pPr>
              <w:rPr>
                <w:rFonts w:ascii="Times New Roman" w:hAnsi="Times New Roman" w:cs="Times New Roman"/>
                <w:sz w:val="24"/>
                <w:szCs w:val="24"/>
              </w:rPr>
            </w:pPr>
            <w:bookmarkStart w:id="1" w:name="_Toc29894878"/>
            <w:bookmarkStart w:id="2" w:name="_Toc29899177"/>
            <w:bookmarkStart w:id="3" w:name="_Toc29899595"/>
            <w:bookmarkStart w:id="4" w:name="_Toc29917331"/>
            <w:bookmarkStart w:id="5" w:name="_Toc36498206"/>
            <w:bookmarkStart w:id="6" w:name="_Toc45699234"/>
            <w:r w:rsidRPr="00AC6DAA">
              <w:rPr>
                <w:sz w:val="24"/>
                <w:szCs w:val="24"/>
              </w:rPr>
              <w:t>16.2.1</w:t>
            </w:r>
            <w:r w:rsidRPr="00AC6DAA">
              <w:rPr>
                <w:sz w:val="24"/>
                <w:szCs w:val="24"/>
              </w:rPr>
              <w:tab/>
              <w:t>PSSCH</w:t>
            </w:r>
            <w:bookmarkEnd w:id="1"/>
            <w:bookmarkEnd w:id="2"/>
            <w:bookmarkEnd w:id="3"/>
            <w:bookmarkEnd w:id="4"/>
            <w:bookmarkEnd w:id="5"/>
            <w:bookmarkEnd w:id="6"/>
          </w:p>
          <w:p w14:paraId="594F9756" w14:textId="345A9F3F" w:rsidR="00AC6DAA" w:rsidRPr="00AC6DAA" w:rsidRDefault="00AC6DAA" w:rsidP="00AC6DAA">
            <w:pPr>
              <w:rPr>
                <w:rFonts w:ascii="Times New Roman" w:hAnsi="Times New Roman" w:cs="Times New Roman"/>
                <w:sz w:val="20"/>
                <w:szCs w:val="20"/>
              </w:rPr>
            </w:pPr>
            <w:r w:rsidRPr="00AC6DAA">
              <w:rPr>
                <w:rFonts w:ascii="Times New Roman" w:hAnsi="Times New Roman" w:cs="Times New Roman"/>
                <w:sz w:val="20"/>
                <w:szCs w:val="20"/>
              </w:rPr>
              <w:t xml:space="preserve">A UE determines a power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PSSCH</m:t>
                  </m:r>
                  <m:r>
                    <m:rPr>
                      <m:sty m:val="p"/>
                    </m:rPr>
                    <w:rPr>
                      <w:rFonts w:ascii="Cambria Math" w:hAnsi="Cambria Math" w:cs="Times New Roman"/>
                      <w:sz w:val="20"/>
                      <w:szCs w:val="20"/>
                    </w:rPr>
                    <m:t>,</m:t>
                  </m:r>
                  <m:r>
                    <w:rPr>
                      <w:rFonts w:ascii="Cambria Math" w:hAnsi="Cambria Math" w:cs="Times New Roman"/>
                      <w:sz w:val="20"/>
                      <w:szCs w:val="20"/>
                    </w:rPr>
                    <m:t>b</m:t>
                  </m:r>
                  <m:r>
                    <m:rPr>
                      <m:sty m:val="p"/>
                    </m:rPr>
                    <w:rPr>
                      <w:rFonts w:ascii="Cambria Math" w:hAnsi="Cambria Math" w:cs="Times New Roman"/>
                      <w:sz w:val="20"/>
                      <w:szCs w:val="20"/>
                    </w:rPr>
                    <m:t>,</m:t>
                  </m:r>
                  <m:r>
                    <w:rPr>
                      <w:rFonts w:ascii="Cambria Math" w:hAnsi="Cambria Math" w:cs="Times New Roman"/>
                      <w:sz w:val="20"/>
                      <w:szCs w:val="20"/>
                    </w:rPr>
                    <m:t>c</m:t>
                  </m:r>
                  <m:ctrlPr>
                    <w:rPr>
                      <w:rFonts w:ascii="Cambria Math" w:hAnsi="Cambria Math" w:cs="Times New Roman"/>
                      <w:iCs/>
                      <w:sz w:val="20"/>
                      <w:szCs w:val="20"/>
                    </w:rPr>
                  </m:ctrlPr>
                </m:sub>
              </m:sSub>
              <m:r>
                <w:rPr>
                  <w:rFonts w:ascii="Cambria Math" w:hAnsi="Cambria Math" w:cs="Times New Roman"/>
                  <w:sz w:val="20"/>
                  <w:szCs w:val="20"/>
                </w:rPr>
                <m:t>(i)</m:t>
              </m:r>
            </m:oMath>
            <w:r w:rsidRPr="00AC6DAA">
              <w:rPr>
                <w:rFonts w:ascii="Times New Roman" w:hAnsi="Times New Roman" w:cs="Times New Roman"/>
                <w:iCs/>
                <w:sz w:val="20"/>
                <w:szCs w:val="20"/>
              </w:rPr>
              <w:t xml:space="preserve"> </w:t>
            </w:r>
            <w:r w:rsidRPr="00AC6DAA">
              <w:rPr>
                <w:rFonts w:ascii="Times New Roman" w:hAnsi="Times New Roman" w:cs="Times New Roman"/>
                <w:sz w:val="20"/>
                <w:szCs w:val="20"/>
              </w:rPr>
              <w:t>for a PSSCH transmission on a resource pool</w:t>
            </w:r>
            <w:r w:rsidRPr="00AC6DAA">
              <w:rPr>
                <w:rFonts w:ascii="Times New Roman" w:eastAsia="Malgun Gothic" w:hAnsi="Times New Roman" w:cs="Times New Roman"/>
                <w:sz w:val="20"/>
                <w:szCs w:val="20"/>
              </w:rPr>
              <w:t xml:space="preserve"> in </w:t>
            </w:r>
            <w:r w:rsidRPr="00AC6DAA">
              <w:rPr>
                <w:rFonts w:ascii="Times New Roman" w:eastAsia="Malgun Gothic" w:hAnsi="Times New Roman" w:cs="Times New Roman"/>
                <w:sz w:val="20"/>
                <w:szCs w:val="20"/>
                <w:lang w:eastAsia="ko-KR"/>
              </w:rPr>
              <w:t>symbols where a corresponding PSCCH is not transmitted</w:t>
            </w:r>
            <w:r w:rsidRPr="00AC6DAA">
              <w:rPr>
                <w:rFonts w:ascii="Times New Roman" w:hAnsi="Times New Roman" w:cs="Times New Roman"/>
                <w:iCs/>
                <w:sz w:val="20"/>
                <w:szCs w:val="20"/>
              </w:rPr>
              <w:t xml:space="preserve"> </w:t>
            </w:r>
            <w:r w:rsidRPr="00AC6DAA">
              <w:rPr>
                <w:rFonts w:ascii="Times New Roman" w:hAnsi="Times New Roman" w:cs="Times New Roman"/>
                <w:sz w:val="20"/>
                <w:szCs w:val="20"/>
              </w:rPr>
              <w:t xml:space="preserve">in PSCCH-PSSCH transmission occasion </w:t>
            </w:r>
            <m:oMath>
              <m:r>
                <w:rPr>
                  <w:rFonts w:ascii="Cambria Math" w:hAnsi="Cambria Math" w:cs="Times New Roman"/>
                  <w:sz w:val="20"/>
                  <w:szCs w:val="20"/>
                </w:rPr>
                <m:t>i</m:t>
              </m:r>
            </m:oMath>
            <w:r w:rsidRPr="00AC6DAA">
              <w:rPr>
                <w:rFonts w:ascii="Times New Roman" w:hAnsi="Times New Roman" w:cs="Times New Roman"/>
                <w:iCs/>
                <w:sz w:val="20"/>
                <w:szCs w:val="20"/>
              </w:rPr>
              <w:t xml:space="preserve"> </w:t>
            </w:r>
            <w:r w:rsidRPr="00AC6DAA">
              <w:rPr>
                <w:rFonts w:ascii="Times New Roman" w:hAnsi="Times New Roman" w:cs="Times New Roman"/>
                <w:sz w:val="20"/>
                <w:szCs w:val="20"/>
              </w:rPr>
              <w:t>as:</w:t>
            </w:r>
          </w:p>
          <w:p w14:paraId="5D6DB3BA" w14:textId="77777777" w:rsidR="00AC6DAA" w:rsidRPr="00AC6DAA" w:rsidRDefault="00AC6DAA" w:rsidP="00AC6DAA">
            <w:pPr>
              <w:pStyle w:val="B1"/>
              <w:spacing w:after="0"/>
            </w:pPr>
            <w:r w:rsidRPr="00AC6DAA">
              <w:t>-</w:t>
            </w:r>
            <w:r w:rsidRPr="00AC6DAA">
              <w:tab/>
              <w:t xml:space="preserve">if </w:t>
            </w:r>
            <w:r w:rsidRPr="00AC6DAA">
              <w:rPr>
                <w:rFonts w:eastAsia="Malgun Gothic"/>
                <w:i/>
                <w:iCs/>
              </w:rPr>
              <w:t>maximumtransmitPower-SL</w:t>
            </w:r>
            <w:r w:rsidRPr="00AC6DAA">
              <w:t xml:space="preserve"> is provided then</w:t>
            </w:r>
          </w:p>
          <w:p w14:paraId="5494DF94" w14:textId="77777777" w:rsidR="00AC6DAA" w:rsidRPr="00AC6DAA" w:rsidRDefault="00AC6DAA" w:rsidP="00AC6DAA">
            <w:pPr>
              <w:pStyle w:val="EQ"/>
              <w:spacing w:after="0"/>
            </w:pPr>
            <w:r w:rsidRPr="00AC6DAA">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Pr="00AC6DAA">
              <w:t xml:space="preserve"> [dBm]</w:t>
            </w:r>
          </w:p>
          <w:p w14:paraId="6E521804" w14:textId="77777777" w:rsidR="00AC6DAA" w:rsidRPr="00AC6DAA" w:rsidRDefault="00AC6DAA" w:rsidP="00AC6DAA">
            <w:pPr>
              <w:pStyle w:val="B1"/>
              <w:spacing w:after="0"/>
            </w:pPr>
            <w:r w:rsidRPr="00AC6DAA">
              <w:t>-</w:t>
            </w:r>
            <w:r w:rsidRPr="00AC6DAA">
              <w:tab/>
              <w:t>else</w:t>
            </w:r>
          </w:p>
          <w:p w14:paraId="5E7036D4" w14:textId="77777777" w:rsidR="00AC6DAA" w:rsidRPr="00AC6DAA" w:rsidRDefault="00AC6DAA" w:rsidP="00AC6DAA">
            <w:pPr>
              <w:pStyle w:val="EQ"/>
              <w:spacing w:after="0"/>
            </w:pPr>
            <w:r w:rsidRPr="00AC6DAA">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Pr="00AC6DAA">
              <w:t xml:space="preserve"> [dBm]</w:t>
            </w:r>
          </w:p>
          <w:p w14:paraId="196CFF8A" w14:textId="4220ED92" w:rsidR="00AC6DAA" w:rsidRPr="00AC6DAA" w:rsidRDefault="00AC6DAA" w:rsidP="00AC6DAA">
            <w:pPr>
              <w:pStyle w:val="BodyText"/>
              <w:rPr>
                <w:rFonts w:ascii="Times New Roman" w:eastAsiaTheme="minorEastAsia" w:hAnsi="Times New Roman" w:cs="Times New Roman"/>
                <w:color w:val="000000" w:themeColor="text1"/>
                <w:sz w:val="20"/>
                <w:szCs w:val="20"/>
              </w:rPr>
            </w:pPr>
            <w:r w:rsidRPr="00AC6DAA">
              <w:rPr>
                <w:rFonts w:ascii="Times New Roman" w:eastAsiaTheme="minorEastAsia" w:hAnsi="Times New Roman" w:cs="Times New Roman"/>
                <w:color w:val="000000" w:themeColor="text1"/>
                <w:sz w:val="20"/>
                <w:szCs w:val="20"/>
              </w:rPr>
              <w:t>…</w:t>
            </w:r>
          </w:p>
        </w:tc>
      </w:tr>
    </w:tbl>
    <w:p w14:paraId="01411B94" w14:textId="23A77626" w:rsidR="00460381" w:rsidRDefault="00460381" w:rsidP="00460381">
      <w:pPr>
        <w:pStyle w:val="BodyText"/>
        <w:spacing w:before="240" w:after="240"/>
        <w:rPr>
          <w:rFonts w:eastAsiaTheme="minorEastAsia"/>
          <w:color w:val="000000" w:themeColor="text1"/>
          <w:sz w:val="20"/>
        </w:rPr>
      </w:pPr>
      <w:r>
        <w:rPr>
          <w:rFonts w:eastAsiaTheme="minorEastAsia"/>
          <w:color w:val="000000" w:themeColor="text1"/>
          <w:sz w:val="20"/>
        </w:rPr>
        <w:t xml:space="preserve">First of all, after further checking the latest TS 38.331 (v.16.1.0), the higher layer parameter should be </w:t>
      </w:r>
      <w:r w:rsidR="00D4683D">
        <w:rPr>
          <w:rFonts w:eastAsiaTheme="minorEastAsia"/>
          <w:color w:val="000000" w:themeColor="text1"/>
          <w:sz w:val="20"/>
        </w:rPr>
        <w:t>updated</w:t>
      </w:r>
      <w:r>
        <w:rPr>
          <w:rFonts w:eastAsiaTheme="minorEastAsia"/>
          <w:color w:val="000000" w:themeColor="text1"/>
          <w:sz w:val="20"/>
        </w:rPr>
        <w:t xml:space="preserve"> to “</w:t>
      </w:r>
      <w:r w:rsidRPr="00460381">
        <w:rPr>
          <w:rFonts w:ascii="Times New Roman" w:eastAsiaTheme="minorEastAsia" w:hAnsi="Times New Roman" w:cs="Times New Roman"/>
          <w:i/>
          <w:iCs/>
          <w:color w:val="000000" w:themeColor="text1"/>
          <w:sz w:val="20"/>
        </w:rPr>
        <w:t>sl-MaxTxPower</w:t>
      </w:r>
      <w:r>
        <w:rPr>
          <w:rFonts w:eastAsiaTheme="minorEastAsia"/>
          <w:color w:val="000000" w:themeColor="text1"/>
          <w:sz w:val="20"/>
        </w:rPr>
        <w:t>” (</w:t>
      </w:r>
      <w:r w:rsidRPr="00460381">
        <w:rPr>
          <w:rFonts w:ascii="Times New Roman" w:eastAsia="Malgun Gothic" w:hAnsi="Times New Roman" w:cs="Times New Roman"/>
          <w:i/>
          <w:iCs/>
          <w:color w:val="000000" w:themeColor="text1"/>
          <w:sz w:val="20"/>
          <w:szCs w:val="20"/>
        </w:rPr>
        <w:t>maximumtransmitPower-</w:t>
      </w:r>
      <w:r w:rsidR="00D4683D" w:rsidRPr="00460381">
        <w:rPr>
          <w:rFonts w:ascii="Times New Roman" w:eastAsia="Malgun Gothic" w:hAnsi="Times New Roman" w:cs="Times New Roman"/>
          <w:i/>
          <w:iCs/>
          <w:color w:val="000000" w:themeColor="text1"/>
          <w:sz w:val="20"/>
          <w:szCs w:val="20"/>
        </w:rPr>
        <w:t>SL</w:t>
      </w:r>
      <w:r w:rsidR="00D4683D">
        <w:rPr>
          <w:rFonts w:ascii="Times New Roman" w:eastAsia="Malgun Gothic" w:hAnsi="Times New Roman" w:cs="Times New Roman"/>
          <w:i/>
          <w:iCs/>
          <w:color w:val="000000" w:themeColor="text1"/>
          <w:sz w:val="20"/>
          <w:szCs w:val="20"/>
        </w:rPr>
        <w:t xml:space="preserve"> is </w:t>
      </w:r>
      <w:r w:rsidR="00D4683D">
        <w:rPr>
          <w:rFonts w:eastAsiaTheme="minorEastAsia"/>
          <w:color w:val="000000" w:themeColor="text1"/>
          <w:sz w:val="20"/>
        </w:rPr>
        <w:t>no longer exist</w:t>
      </w:r>
      <w:r>
        <w:rPr>
          <w:rFonts w:eastAsiaTheme="minorEastAsia"/>
          <w:color w:val="000000" w:themeColor="text1"/>
          <w:sz w:val="20"/>
        </w:rPr>
        <w:t>)</w:t>
      </w:r>
      <w:r w:rsidR="00D4683D">
        <w:rPr>
          <w:rFonts w:eastAsiaTheme="minorEastAsia"/>
          <w:color w:val="000000" w:themeColor="text1"/>
          <w:sz w:val="20"/>
        </w:rPr>
        <w:t xml:space="preserve">, which actually takes into account of </w:t>
      </w:r>
      <w:r w:rsidR="00D4683D" w:rsidRPr="00D4683D">
        <w:rPr>
          <w:rFonts w:eastAsiaTheme="minorEastAsia"/>
          <w:color w:val="000000" w:themeColor="text1"/>
          <w:sz w:val="20"/>
        </w:rPr>
        <w:t>CBR-dependent configurations</w:t>
      </w:r>
      <w:r w:rsidR="00D4683D">
        <w:rPr>
          <w:rFonts w:eastAsiaTheme="minorEastAsia"/>
          <w:color w:val="000000" w:themeColor="text1"/>
          <w:sz w:val="20"/>
        </w:rPr>
        <w:t>.</w:t>
      </w:r>
    </w:p>
    <w:p w14:paraId="687E35F2" w14:textId="67EF73A4" w:rsidR="00D4683D" w:rsidRDefault="00D4683D" w:rsidP="00460381">
      <w:pPr>
        <w:pStyle w:val="BodyText"/>
        <w:spacing w:before="240" w:after="240"/>
        <w:rPr>
          <w:rFonts w:eastAsiaTheme="minorEastAsia"/>
          <w:color w:val="000000" w:themeColor="text1"/>
          <w:sz w:val="20"/>
        </w:rPr>
      </w:pPr>
      <w:r>
        <w:rPr>
          <w:rFonts w:eastAsiaTheme="minorEastAsia"/>
          <w:color w:val="000000" w:themeColor="text1"/>
          <w:sz w:val="20"/>
        </w:rPr>
        <w:t>Secondly, according to TS 38.331, “</w:t>
      </w:r>
      <w:r w:rsidRPr="00460381">
        <w:rPr>
          <w:rFonts w:ascii="Times New Roman" w:eastAsiaTheme="minorEastAsia" w:hAnsi="Times New Roman" w:cs="Times New Roman"/>
          <w:i/>
          <w:iCs/>
          <w:color w:val="000000" w:themeColor="text1"/>
          <w:sz w:val="20"/>
        </w:rPr>
        <w:t>sl-MaxTxPower</w:t>
      </w:r>
      <w:r>
        <w:rPr>
          <w:rFonts w:eastAsiaTheme="minorEastAsia"/>
          <w:color w:val="000000" w:themeColor="text1"/>
          <w:sz w:val="20"/>
        </w:rPr>
        <w:t xml:space="preserve">” is configured as part of the </w:t>
      </w:r>
      <w:r w:rsidRPr="00D4683D">
        <w:rPr>
          <w:rFonts w:eastAsiaTheme="minorEastAsia"/>
          <w:i/>
          <w:iCs/>
          <w:color w:val="000000" w:themeColor="text1"/>
          <w:sz w:val="20"/>
        </w:rPr>
        <w:t>SL-PSSCH-TxConfigList</w:t>
      </w:r>
      <w:r>
        <w:rPr>
          <w:rFonts w:eastAsiaTheme="minorEastAsia"/>
          <w:color w:val="000000" w:themeColor="text1"/>
          <w:sz w:val="20"/>
        </w:rPr>
        <w:t xml:space="preserve"> IE, which in turn is configured by the </w:t>
      </w:r>
      <w:r w:rsidRPr="00D4683D">
        <w:rPr>
          <w:rFonts w:eastAsiaTheme="minorEastAsia"/>
          <w:i/>
          <w:iCs/>
          <w:color w:val="000000" w:themeColor="text1"/>
          <w:sz w:val="20"/>
        </w:rPr>
        <w:t>SL-UE-SelectedConfig</w:t>
      </w:r>
      <w:r>
        <w:rPr>
          <w:rFonts w:eastAsiaTheme="minorEastAsia"/>
          <w:color w:val="000000" w:themeColor="text1"/>
          <w:sz w:val="20"/>
        </w:rPr>
        <w:t xml:space="preserve"> IE. Therefore, it is clear tha</w:t>
      </w:r>
      <w:r w:rsidRPr="00C70162">
        <w:rPr>
          <w:rFonts w:eastAsiaTheme="minorEastAsia"/>
          <w:color w:val="000000" w:themeColor="text1"/>
          <w:sz w:val="20"/>
        </w:rPr>
        <w:t>t</w:t>
      </w:r>
      <w:r w:rsidR="00C70162" w:rsidRPr="00C70162">
        <w:rPr>
          <w:rFonts w:eastAsiaTheme="minorEastAsia"/>
          <w:color w:val="000000" w:themeColor="text1"/>
          <w:sz w:val="20"/>
        </w:rPr>
        <w:t xml:space="preserve"> </w:t>
      </w:r>
      <m:oMath>
        <m:sSub>
          <m:sSubPr>
            <m:ctrlPr>
              <w:rPr>
                <w:rFonts w:ascii="Cambria Math" w:hAnsi="Cambria Math" w:cs="Times New Roman"/>
                <w:color w:val="000000" w:themeColor="text1"/>
                <w:sz w:val="20"/>
                <w:szCs w:val="20"/>
              </w:rPr>
            </m:ctrlPr>
          </m:sSubPr>
          <m:e>
            <m:r>
              <w:rPr>
                <w:rFonts w:ascii="Cambria Math" w:hAnsi="Cambria Math" w:cs="Times New Roman"/>
                <w:color w:val="000000" w:themeColor="text1"/>
                <w:sz w:val="20"/>
                <w:szCs w:val="20"/>
              </w:rPr>
              <m:t>P</m:t>
            </m:r>
          </m:e>
          <m:sub>
            <m:r>
              <m:rPr>
                <m:nor/>
              </m:rPr>
              <w:rPr>
                <w:rFonts w:ascii="Times New Roman" w:hAnsi="Times New Roman" w:cs="Times New Roman"/>
                <w:color w:val="000000" w:themeColor="text1"/>
                <w:sz w:val="20"/>
                <w:szCs w:val="20"/>
              </w:rPr>
              <m:t>MAX</m:t>
            </m:r>
            <m:r>
              <m:rPr>
                <m:sty m:val="p"/>
              </m:rPr>
              <w:rPr>
                <w:rFonts w:ascii="Cambria Math" w:hAnsi="Cambria Math" w:cs="Times New Roman"/>
                <w:color w:val="000000" w:themeColor="text1"/>
                <w:sz w:val="20"/>
                <w:szCs w:val="20"/>
              </w:rPr>
              <m:t>,CBR</m:t>
            </m:r>
          </m:sub>
        </m:sSub>
      </m:oMath>
      <w:r w:rsidR="00C70162" w:rsidRPr="00C70162">
        <w:rPr>
          <w:rFonts w:eastAsiaTheme="minorEastAsia"/>
          <w:color w:val="000000" w:themeColor="text1"/>
          <w:sz w:val="20"/>
        </w:rPr>
        <w:t xml:space="preserve"> in the </w:t>
      </w:r>
      <w:r w:rsidR="00C70162">
        <w:rPr>
          <w:rFonts w:eastAsiaTheme="minorEastAsia"/>
          <w:color w:val="000000" w:themeColor="text1"/>
          <w:sz w:val="20"/>
        </w:rPr>
        <w:t>power control equation for PSSCH can only apply to mode 2.</w:t>
      </w:r>
    </w:p>
    <w:p w14:paraId="683455AF" w14:textId="45E53CCC" w:rsidR="00C70162" w:rsidRDefault="00C70162" w:rsidP="00460381">
      <w:pPr>
        <w:pStyle w:val="BodyText"/>
        <w:spacing w:before="240" w:after="240"/>
        <w:rPr>
          <w:rFonts w:eastAsiaTheme="minorEastAsia"/>
          <w:color w:val="000000" w:themeColor="text1"/>
          <w:sz w:val="20"/>
        </w:rPr>
      </w:pPr>
      <w:r>
        <w:rPr>
          <w:rFonts w:eastAsiaTheme="minorEastAsia"/>
          <w:color w:val="000000" w:themeColor="text1"/>
          <w:sz w:val="20"/>
        </w:rPr>
        <w:t xml:space="preserve">Thirdly, according to TS38.214 (v.16.2.0), sidelink congestion control is only supported in mode 2. Therefore, there is no CBR measurement when UE operates in mode 1 and UE won’t be able to </w:t>
      </w:r>
      <w:r w:rsidRPr="00C70162">
        <w:rPr>
          <w:rFonts w:eastAsiaTheme="minorEastAsia"/>
          <w:color w:val="000000" w:themeColor="text1"/>
          <w:sz w:val="20"/>
        </w:rPr>
        <w:t xml:space="preserve">determine the </w:t>
      </w:r>
      <m:oMath>
        <m:sSub>
          <m:sSubPr>
            <m:ctrlPr>
              <w:rPr>
                <w:rFonts w:ascii="Cambria Math" w:hAnsi="Cambria Math" w:cs="Times New Roman"/>
                <w:color w:val="000000" w:themeColor="text1"/>
                <w:sz w:val="20"/>
                <w:szCs w:val="20"/>
              </w:rPr>
            </m:ctrlPr>
          </m:sSubPr>
          <m:e>
            <m:r>
              <w:rPr>
                <w:rFonts w:ascii="Cambria Math" w:hAnsi="Cambria Math" w:cs="Times New Roman"/>
                <w:color w:val="000000" w:themeColor="text1"/>
                <w:sz w:val="20"/>
                <w:szCs w:val="20"/>
              </w:rPr>
              <m:t>P</m:t>
            </m:r>
          </m:e>
          <m:sub>
            <m:r>
              <m:rPr>
                <m:nor/>
              </m:rPr>
              <w:rPr>
                <w:rFonts w:ascii="Times New Roman" w:hAnsi="Times New Roman" w:cs="Times New Roman"/>
                <w:color w:val="000000" w:themeColor="text1"/>
                <w:sz w:val="20"/>
                <w:szCs w:val="20"/>
              </w:rPr>
              <m:t>MAX</m:t>
            </m:r>
            <m:r>
              <m:rPr>
                <m:sty m:val="p"/>
              </m:rPr>
              <w:rPr>
                <w:rFonts w:ascii="Cambria Math" w:hAnsi="Cambria Math" w:cs="Times New Roman"/>
                <w:color w:val="000000" w:themeColor="text1"/>
                <w:sz w:val="20"/>
                <w:szCs w:val="20"/>
              </w:rPr>
              <m:t>,CBR</m:t>
            </m:r>
          </m:sub>
        </m:sSub>
      </m:oMath>
      <w:r w:rsidRPr="00C70162">
        <w:rPr>
          <w:rFonts w:eastAsiaTheme="minorEastAsia"/>
          <w:color w:val="000000" w:themeColor="text1"/>
          <w:sz w:val="20"/>
          <w:szCs w:val="20"/>
        </w:rPr>
        <w:t xml:space="preserve"> </w:t>
      </w:r>
      <w:r>
        <w:rPr>
          <w:rFonts w:eastAsiaTheme="minorEastAsia"/>
          <w:color w:val="000000" w:themeColor="text1"/>
          <w:sz w:val="20"/>
        </w:rPr>
        <w:t xml:space="preserve">value even if </w:t>
      </w:r>
      <w:r w:rsidRPr="00460381">
        <w:rPr>
          <w:rFonts w:ascii="Times New Roman" w:eastAsiaTheme="minorEastAsia" w:hAnsi="Times New Roman" w:cs="Times New Roman"/>
          <w:i/>
          <w:iCs/>
          <w:color w:val="000000" w:themeColor="text1"/>
          <w:sz w:val="20"/>
        </w:rPr>
        <w:t>sl-MaxTxPower</w:t>
      </w:r>
      <w:r>
        <w:rPr>
          <w:rFonts w:eastAsiaTheme="minorEastAsia"/>
          <w:color w:val="000000" w:themeColor="text1"/>
          <w:sz w:val="20"/>
        </w:rPr>
        <w:t xml:space="preserve"> / </w:t>
      </w:r>
      <w:r w:rsidRPr="00460381">
        <w:rPr>
          <w:rFonts w:ascii="Times New Roman" w:eastAsia="Malgun Gothic" w:hAnsi="Times New Roman" w:cs="Times New Roman"/>
          <w:i/>
          <w:iCs/>
          <w:color w:val="000000" w:themeColor="text1"/>
          <w:sz w:val="20"/>
          <w:szCs w:val="20"/>
        </w:rPr>
        <w:t>maximumtransmitPower-SL</w:t>
      </w:r>
      <w:r>
        <w:rPr>
          <w:rFonts w:eastAsiaTheme="minorEastAsia"/>
          <w:color w:val="000000" w:themeColor="text1"/>
          <w:sz w:val="20"/>
        </w:rPr>
        <w:t xml:space="preserve"> is configured.</w:t>
      </w:r>
    </w:p>
    <w:p w14:paraId="065A2CCA" w14:textId="2DDC620F" w:rsidR="004A43AE" w:rsidRDefault="004A43AE" w:rsidP="00460381">
      <w:pPr>
        <w:pStyle w:val="BodyText"/>
        <w:spacing w:before="240" w:after="240"/>
        <w:rPr>
          <w:rFonts w:eastAsiaTheme="minorEastAsia"/>
          <w:color w:val="000000" w:themeColor="text1"/>
          <w:sz w:val="20"/>
        </w:rPr>
      </w:pPr>
      <w:r>
        <w:rPr>
          <w:rFonts w:eastAsiaTheme="minorEastAsia"/>
          <w:color w:val="000000" w:themeColor="text1"/>
          <w:sz w:val="20"/>
        </w:rPr>
        <w:t xml:space="preserve">Based on the above spec survey and discussion, we make the following </w:t>
      </w:r>
      <w:r w:rsidR="00D01D49">
        <w:rPr>
          <w:rFonts w:eastAsiaTheme="minorEastAsia"/>
          <w:color w:val="000000" w:themeColor="text1"/>
          <w:sz w:val="20"/>
        </w:rPr>
        <w:t xml:space="preserve">observation and </w:t>
      </w:r>
      <w:r>
        <w:rPr>
          <w:rFonts w:eastAsiaTheme="minorEastAsia"/>
          <w:color w:val="000000" w:themeColor="text1"/>
          <w:sz w:val="20"/>
        </w:rPr>
        <w:t>proposal.</w:t>
      </w:r>
    </w:p>
    <w:p w14:paraId="7FF2BD79" w14:textId="2F2CBE71" w:rsidR="00D01D49" w:rsidRDefault="00D01D49" w:rsidP="00FC274B">
      <w:pPr>
        <w:pStyle w:val="BodyText"/>
        <w:spacing w:after="120"/>
        <w:rPr>
          <w:rFonts w:eastAsiaTheme="minorEastAsia"/>
          <w:b/>
          <w:i/>
          <w:color w:val="000000" w:themeColor="text1"/>
          <w:sz w:val="20"/>
          <w:szCs w:val="20"/>
        </w:rPr>
      </w:pPr>
      <w:r>
        <w:rPr>
          <w:rFonts w:eastAsiaTheme="minorEastAsia"/>
          <w:b/>
          <w:i/>
          <w:color w:val="000000" w:themeColor="text1"/>
          <w:sz w:val="20"/>
          <w:szCs w:val="20"/>
        </w:rPr>
        <w:t>Observation: From the existing 38.214 description and RRC configuration IE in 38.331, it is clear that CBR measurement applies in mode 2 operation only. That is, no CBR measurement and CBR based congestion and power control is described for mode 1.</w:t>
      </w:r>
    </w:p>
    <w:p w14:paraId="46CD282D" w14:textId="237FFBFC" w:rsidR="00B65BF9" w:rsidRPr="00FC274B" w:rsidRDefault="00B65BF9" w:rsidP="00FC274B">
      <w:pPr>
        <w:pStyle w:val="BodyText"/>
        <w:spacing w:after="120"/>
        <w:rPr>
          <w:rFonts w:eastAsiaTheme="minorEastAsia"/>
          <w:b/>
          <w:i/>
          <w:color w:val="000000" w:themeColor="text1"/>
          <w:sz w:val="20"/>
          <w:szCs w:val="20"/>
        </w:rPr>
      </w:pPr>
      <w:r w:rsidRPr="00FC274B">
        <w:rPr>
          <w:rFonts w:eastAsiaTheme="minorEastAsia"/>
          <w:b/>
          <w:i/>
          <w:color w:val="000000" w:themeColor="text1"/>
          <w:sz w:val="20"/>
          <w:szCs w:val="20"/>
        </w:rPr>
        <w:t xml:space="preserve">Proposal: </w:t>
      </w:r>
      <w:r w:rsidR="004A43AE" w:rsidRPr="00FC274B">
        <w:rPr>
          <w:rFonts w:eastAsiaTheme="minorEastAsia"/>
          <w:b/>
          <w:i/>
          <w:color w:val="000000" w:themeColor="text1"/>
          <w:sz w:val="20"/>
          <w:szCs w:val="20"/>
        </w:rPr>
        <w:t>The higher layer parameter “</w:t>
      </w:r>
      <w:r w:rsidR="00FC274B" w:rsidRPr="00FC274B">
        <w:rPr>
          <w:rFonts w:ascii="Times New Roman" w:eastAsia="Malgun Gothic" w:hAnsi="Times New Roman" w:cs="Times New Roman"/>
          <w:i/>
          <w:iCs/>
          <w:color w:val="000000" w:themeColor="text1"/>
          <w:sz w:val="20"/>
          <w:szCs w:val="20"/>
        </w:rPr>
        <w:t>maximumtransmitPower-SL</w:t>
      </w:r>
      <w:r w:rsidR="004A43AE" w:rsidRPr="00FC274B">
        <w:rPr>
          <w:rFonts w:eastAsiaTheme="minorEastAsia"/>
          <w:b/>
          <w:i/>
          <w:color w:val="000000" w:themeColor="text1"/>
          <w:sz w:val="20"/>
          <w:szCs w:val="20"/>
        </w:rPr>
        <w:t>” in the power control for PSSCH</w:t>
      </w:r>
      <w:r w:rsidR="00FC274B" w:rsidRPr="00FC274B">
        <w:rPr>
          <w:rFonts w:eastAsiaTheme="minorEastAsia"/>
          <w:b/>
          <w:i/>
          <w:color w:val="000000" w:themeColor="text1"/>
          <w:sz w:val="20"/>
          <w:szCs w:val="20"/>
        </w:rPr>
        <w:t xml:space="preserve"> section 16.2.1 in 38.213 should be updated to “</w:t>
      </w:r>
      <w:r w:rsidR="00FC274B" w:rsidRPr="00FC274B">
        <w:rPr>
          <w:rFonts w:ascii="Times New Roman" w:eastAsiaTheme="minorEastAsia" w:hAnsi="Times New Roman" w:cs="Times New Roman"/>
          <w:i/>
          <w:iCs/>
          <w:color w:val="000000" w:themeColor="text1"/>
          <w:sz w:val="20"/>
        </w:rPr>
        <w:t>sl-MaxTxPower</w:t>
      </w:r>
      <w:r w:rsidR="00FC274B" w:rsidRPr="00FC274B">
        <w:rPr>
          <w:rFonts w:eastAsiaTheme="minorEastAsia"/>
          <w:b/>
          <w:i/>
          <w:color w:val="000000" w:themeColor="text1"/>
          <w:sz w:val="20"/>
          <w:szCs w:val="20"/>
        </w:rPr>
        <w:t>”.</w:t>
      </w:r>
    </w:p>
    <w:p w14:paraId="30163079" w14:textId="77D4E114" w:rsidR="00FC274B" w:rsidRPr="00FC274B" w:rsidRDefault="00FC274B" w:rsidP="00FC274B">
      <w:pPr>
        <w:pStyle w:val="BodyText"/>
        <w:numPr>
          <w:ilvl w:val="0"/>
          <w:numId w:val="38"/>
        </w:numPr>
        <w:spacing w:after="360"/>
        <w:rPr>
          <w:rFonts w:eastAsiaTheme="minorEastAsia"/>
          <w:b/>
          <w:i/>
          <w:color w:val="000000" w:themeColor="text1"/>
          <w:sz w:val="20"/>
          <w:szCs w:val="20"/>
        </w:rPr>
      </w:pPr>
      <w:r w:rsidRPr="00FC274B">
        <w:rPr>
          <w:rFonts w:eastAsiaTheme="minorEastAsia"/>
          <w:b/>
          <w:i/>
          <w:color w:val="000000" w:themeColor="text1"/>
          <w:sz w:val="20"/>
          <w:szCs w:val="20"/>
        </w:rPr>
        <w:t xml:space="preserve">Based on the existing description structure, “if </w:t>
      </w:r>
      <w:r w:rsidRPr="00FC274B">
        <w:rPr>
          <w:rFonts w:ascii="Times New Roman" w:eastAsia="Malgun Gothic" w:hAnsi="Times New Roman" w:cs="Times New Roman"/>
          <w:i/>
          <w:iCs/>
          <w:color w:val="000000" w:themeColor="text1"/>
          <w:sz w:val="20"/>
          <w:szCs w:val="20"/>
        </w:rPr>
        <w:t>maximumtransmitPower-SL</w:t>
      </w:r>
      <w:r w:rsidRPr="00FC274B">
        <w:rPr>
          <w:rFonts w:eastAsiaTheme="minorEastAsia"/>
          <w:b/>
          <w:i/>
          <w:color w:val="000000" w:themeColor="text1"/>
          <w:sz w:val="20"/>
          <w:szCs w:val="20"/>
        </w:rPr>
        <w:t xml:space="preserve"> is provided then … else …”, it is not necessary to explicit mentioned that </w:t>
      </w:r>
      <m:oMath>
        <m:sSub>
          <m:sSubPr>
            <m:ctrlPr>
              <w:rPr>
                <w:rFonts w:ascii="Cambria Math" w:hAnsi="Cambria Math" w:cs="Times New Roman"/>
                <w:color w:val="000000" w:themeColor="text1"/>
                <w:sz w:val="20"/>
                <w:szCs w:val="20"/>
              </w:rPr>
            </m:ctrlPr>
          </m:sSubPr>
          <m:e>
            <m:r>
              <w:rPr>
                <w:rFonts w:ascii="Cambria Math" w:hAnsi="Cambria Math" w:cs="Times New Roman"/>
                <w:color w:val="000000" w:themeColor="text1"/>
                <w:sz w:val="20"/>
                <w:szCs w:val="20"/>
              </w:rPr>
              <m:t>P</m:t>
            </m:r>
          </m:e>
          <m:sub>
            <m:r>
              <m:rPr>
                <m:nor/>
              </m:rPr>
              <w:rPr>
                <w:rFonts w:ascii="Times New Roman" w:hAnsi="Times New Roman" w:cs="Times New Roman"/>
                <w:color w:val="000000" w:themeColor="text1"/>
                <w:sz w:val="20"/>
                <w:szCs w:val="20"/>
              </w:rPr>
              <m:t>MAX</m:t>
            </m:r>
            <m:r>
              <m:rPr>
                <m:sty m:val="p"/>
              </m:rPr>
              <w:rPr>
                <w:rFonts w:ascii="Cambria Math" w:hAnsi="Cambria Math" w:cs="Times New Roman"/>
                <w:color w:val="000000" w:themeColor="text1"/>
                <w:sz w:val="20"/>
                <w:szCs w:val="20"/>
              </w:rPr>
              <m:t>,CBR</m:t>
            </m:r>
          </m:sub>
        </m:sSub>
      </m:oMath>
      <w:r w:rsidRPr="00FC274B">
        <w:rPr>
          <w:rFonts w:eastAsiaTheme="minorEastAsia"/>
          <w:b/>
          <w:i/>
          <w:color w:val="000000" w:themeColor="text1"/>
          <w:sz w:val="20"/>
          <w:szCs w:val="20"/>
        </w:rPr>
        <w:t xml:space="preserve"> applies only when UE is in mode 2.</w:t>
      </w:r>
    </w:p>
    <w:p w14:paraId="3A91C9E1" w14:textId="6FFDD55C" w:rsidR="00BC0557" w:rsidRPr="006A58CD" w:rsidRDefault="00695CCB" w:rsidP="00BC0557">
      <w:pPr>
        <w:spacing w:after="120"/>
        <w:rPr>
          <w:b/>
          <w:sz w:val="20"/>
          <w:szCs w:val="20"/>
        </w:rPr>
      </w:pPr>
      <w:r w:rsidRPr="006A58CD">
        <w:rPr>
          <w:b/>
          <w:sz w:val="20"/>
          <w:szCs w:val="20"/>
        </w:rPr>
        <w:lastRenderedPageBreak/>
        <w:t>4</w:t>
      </w:r>
      <w:r w:rsidR="00BC0557" w:rsidRPr="006A58CD">
        <w:rPr>
          <w:b/>
          <w:sz w:val="20"/>
          <w:szCs w:val="20"/>
        </w:rPr>
        <w:t>. Conclusion</w:t>
      </w:r>
    </w:p>
    <w:p w14:paraId="0188F143" w14:textId="4455D975" w:rsidR="00695CCB" w:rsidRPr="00204D5B" w:rsidRDefault="00695CCB" w:rsidP="00695CCB">
      <w:pPr>
        <w:pStyle w:val="BodyText"/>
        <w:rPr>
          <w:color w:val="000000" w:themeColor="text1"/>
          <w:sz w:val="20"/>
        </w:rPr>
      </w:pPr>
      <w:r w:rsidRPr="00204D5B">
        <w:rPr>
          <w:color w:val="000000" w:themeColor="text1"/>
          <w:sz w:val="20"/>
        </w:rPr>
        <w:t>I</w:t>
      </w:r>
      <w:r w:rsidRPr="00204D5B">
        <w:rPr>
          <w:rFonts w:hint="eastAsia"/>
          <w:color w:val="000000" w:themeColor="text1"/>
          <w:sz w:val="20"/>
        </w:rPr>
        <w:t xml:space="preserve">n </w:t>
      </w:r>
      <w:r w:rsidRPr="00204D5B">
        <w:rPr>
          <w:color w:val="000000" w:themeColor="text1"/>
          <w:sz w:val="20"/>
        </w:rPr>
        <w:t xml:space="preserve">this contribution, </w:t>
      </w:r>
      <w:r w:rsidR="00AC6DAA">
        <w:rPr>
          <w:color w:val="000000" w:themeColor="text1"/>
          <w:sz w:val="20"/>
        </w:rPr>
        <w:t xml:space="preserve">one </w:t>
      </w:r>
      <w:r w:rsidR="00582FFA">
        <w:rPr>
          <w:color w:val="000000" w:themeColor="text1"/>
          <w:sz w:val="20"/>
        </w:rPr>
        <w:t>remaining open issue</w:t>
      </w:r>
      <w:r w:rsidRPr="00204D5B">
        <w:rPr>
          <w:color w:val="000000" w:themeColor="text1"/>
          <w:sz w:val="20"/>
        </w:rPr>
        <w:t xml:space="preserve"> </w:t>
      </w:r>
      <w:r w:rsidR="00582FFA">
        <w:rPr>
          <w:color w:val="000000" w:themeColor="text1"/>
          <w:sz w:val="20"/>
        </w:rPr>
        <w:t xml:space="preserve">on </w:t>
      </w:r>
      <w:r w:rsidR="00AC6DAA">
        <w:rPr>
          <w:color w:val="000000" w:themeColor="text1"/>
          <w:sz w:val="20"/>
        </w:rPr>
        <w:t>CBR-based sidelink power control in mode 1 was</w:t>
      </w:r>
      <w:r w:rsidRPr="00204D5B">
        <w:rPr>
          <w:color w:val="000000" w:themeColor="text1"/>
          <w:sz w:val="20"/>
        </w:rPr>
        <w:t xml:space="preserve"> discussed</w:t>
      </w:r>
      <w:r w:rsidR="00582FFA">
        <w:rPr>
          <w:color w:val="000000" w:themeColor="text1"/>
          <w:sz w:val="20"/>
        </w:rPr>
        <w:t xml:space="preserve"> and t</w:t>
      </w:r>
      <w:r w:rsidRPr="00204D5B">
        <w:rPr>
          <w:color w:val="000000" w:themeColor="text1"/>
          <w:sz w:val="20"/>
        </w:rPr>
        <w:t xml:space="preserve">he following </w:t>
      </w:r>
      <w:r w:rsidR="00D01D49">
        <w:rPr>
          <w:color w:val="000000" w:themeColor="text1"/>
          <w:sz w:val="20"/>
        </w:rPr>
        <w:t xml:space="preserve">observation and </w:t>
      </w:r>
      <w:r w:rsidRPr="00204D5B">
        <w:rPr>
          <w:color w:val="000000" w:themeColor="text1"/>
          <w:sz w:val="20"/>
        </w:rPr>
        <w:t xml:space="preserve">proposal </w:t>
      </w:r>
      <w:r w:rsidR="00AC6DAA">
        <w:rPr>
          <w:color w:val="000000" w:themeColor="text1"/>
          <w:sz w:val="20"/>
        </w:rPr>
        <w:t>w</w:t>
      </w:r>
      <w:r w:rsidR="00D01D49">
        <w:rPr>
          <w:color w:val="000000" w:themeColor="text1"/>
          <w:sz w:val="20"/>
        </w:rPr>
        <w:t>ere</w:t>
      </w:r>
      <w:r w:rsidRPr="00204D5B">
        <w:rPr>
          <w:color w:val="000000" w:themeColor="text1"/>
          <w:sz w:val="20"/>
        </w:rPr>
        <w:t xml:space="preserve"> given.</w:t>
      </w:r>
    </w:p>
    <w:p w14:paraId="37D901DE" w14:textId="2DCAD3FC" w:rsidR="00695CCB" w:rsidRDefault="00695CCB" w:rsidP="00695CCB">
      <w:pPr>
        <w:pStyle w:val="BodyText"/>
        <w:rPr>
          <w:sz w:val="20"/>
        </w:rPr>
      </w:pPr>
    </w:p>
    <w:p w14:paraId="593337B9" w14:textId="1CED917F" w:rsidR="00D01D49" w:rsidRDefault="00D01D49" w:rsidP="00695CCB">
      <w:pPr>
        <w:pStyle w:val="BodyText"/>
        <w:rPr>
          <w:sz w:val="20"/>
        </w:rPr>
      </w:pPr>
      <w:r>
        <w:rPr>
          <w:rFonts w:eastAsiaTheme="minorEastAsia"/>
          <w:b/>
          <w:i/>
          <w:color w:val="000000" w:themeColor="text1"/>
          <w:sz w:val="20"/>
          <w:szCs w:val="20"/>
        </w:rPr>
        <w:t>Observation: From the existing 38.214 description and RRC configuration IE in 38.331, it is clear that CBR measurement applies in mode 2 operation only. That is, no CBR measurement and CBR based congestion and power control is described for mode 1.</w:t>
      </w:r>
    </w:p>
    <w:p w14:paraId="0C72DE67" w14:textId="77777777" w:rsidR="00D01D49" w:rsidRDefault="00D01D49" w:rsidP="00695CCB">
      <w:pPr>
        <w:pStyle w:val="BodyText"/>
        <w:rPr>
          <w:sz w:val="20"/>
        </w:rPr>
      </w:pPr>
    </w:p>
    <w:p w14:paraId="16987EB5" w14:textId="77777777" w:rsidR="00FC274B" w:rsidRPr="00FC274B" w:rsidRDefault="00FC274B" w:rsidP="00FC274B">
      <w:pPr>
        <w:pStyle w:val="BodyText"/>
        <w:spacing w:after="120"/>
        <w:rPr>
          <w:rFonts w:eastAsiaTheme="minorEastAsia"/>
          <w:b/>
          <w:i/>
          <w:color w:val="000000" w:themeColor="text1"/>
          <w:sz w:val="20"/>
          <w:szCs w:val="20"/>
        </w:rPr>
      </w:pPr>
      <w:r w:rsidRPr="00FC274B">
        <w:rPr>
          <w:rFonts w:eastAsiaTheme="minorEastAsia"/>
          <w:b/>
          <w:i/>
          <w:color w:val="000000" w:themeColor="text1"/>
          <w:sz w:val="20"/>
          <w:szCs w:val="20"/>
        </w:rPr>
        <w:t>Proposal: The higher layer parameter “</w:t>
      </w:r>
      <w:r w:rsidRPr="00FC274B">
        <w:rPr>
          <w:rFonts w:ascii="Times New Roman" w:eastAsia="Malgun Gothic" w:hAnsi="Times New Roman" w:cs="Times New Roman"/>
          <w:i/>
          <w:iCs/>
          <w:color w:val="000000" w:themeColor="text1"/>
          <w:sz w:val="20"/>
          <w:szCs w:val="20"/>
        </w:rPr>
        <w:t>maximumtransmitPower-SL</w:t>
      </w:r>
      <w:r w:rsidRPr="00FC274B">
        <w:rPr>
          <w:rFonts w:eastAsiaTheme="minorEastAsia"/>
          <w:b/>
          <w:i/>
          <w:color w:val="000000" w:themeColor="text1"/>
          <w:sz w:val="20"/>
          <w:szCs w:val="20"/>
        </w:rPr>
        <w:t>” in the power control for PSSCH section 16.2.1 in 38.213 should be updated to “</w:t>
      </w:r>
      <w:r w:rsidRPr="00FC274B">
        <w:rPr>
          <w:rFonts w:ascii="Times New Roman" w:eastAsiaTheme="minorEastAsia" w:hAnsi="Times New Roman" w:cs="Times New Roman"/>
          <w:i/>
          <w:iCs/>
          <w:color w:val="000000" w:themeColor="text1"/>
          <w:sz w:val="20"/>
        </w:rPr>
        <w:t>sl-MaxTxPower</w:t>
      </w:r>
      <w:r w:rsidRPr="00FC274B">
        <w:rPr>
          <w:rFonts w:eastAsiaTheme="minorEastAsia"/>
          <w:b/>
          <w:i/>
          <w:color w:val="000000" w:themeColor="text1"/>
          <w:sz w:val="20"/>
          <w:szCs w:val="20"/>
        </w:rPr>
        <w:t>”.</w:t>
      </w:r>
    </w:p>
    <w:p w14:paraId="7341A870" w14:textId="77777777" w:rsidR="00FC274B" w:rsidRPr="00FC274B" w:rsidRDefault="00FC274B" w:rsidP="00FC274B">
      <w:pPr>
        <w:pStyle w:val="BodyText"/>
        <w:numPr>
          <w:ilvl w:val="0"/>
          <w:numId w:val="38"/>
        </w:numPr>
        <w:spacing w:after="360"/>
        <w:rPr>
          <w:rFonts w:eastAsiaTheme="minorEastAsia"/>
          <w:b/>
          <w:i/>
          <w:color w:val="000000" w:themeColor="text1"/>
          <w:sz w:val="20"/>
          <w:szCs w:val="20"/>
        </w:rPr>
      </w:pPr>
      <w:r w:rsidRPr="00FC274B">
        <w:rPr>
          <w:rFonts w:eastAsiaTheme="minorEastAsia"/>
          <w:b/>
          <w:i/>
          <w:color w:val="000000" w:themeColor="text1"/>
          <w:sz w:val="20"/>
          <w:szCs w:val="20"/>
        </w:rPr>
        <w:t xml:space="preserve">Based on the existing description structure, “if </w:t>
      </w:r>
      <w:r w:rsidRPr="00FC274B">
        <w:rPr>
          <w:rFonts w:ascii="Times New Roman" w:eastAsia="Malgun Gothic" w:hAnsi="Times New Roman" w:cs="Times New Roman"/>
          <w:i/>
          <w:iCs/>
          <w:color w:val="000000" w:themeColor="text1"/>
          <w:sz w:val="20"/>
          <w:szCs w:val="20"/>
        </w:rPr>
        <w:t>maximumtransmitPower-SL</w:t>
      </w:r>
      <w:r w:rsidRPr="00FC274B">
        <w:rPr>
          <w:rFonts w:eastAsiaTheme="minorEastAsia"/>
          <w:b/>
          <w:i/>
          <w:color w:val="000000" w:themeColor="text1"/>
          <w:sz w:val="20"/>
          <w:szCs w:val="20"/>
        </w:rPr>
        <w:t xml:space="preserve"> is provided then … else …”, it is not necessary to explicit mentioned that </w:t>
      </w:r>
      <m:oMath>
        <m:sSub>
          <m:sSubPr>
            <m:ctrlPr>
              <w:rPr>
                <w:rFonts w:ascii="Cambria Math" w:hAnsi="Cambria Math" w:cs="Times New Roman"/>
                <w:color w:val="000000" w:themeColor="text1"/>
                <w:sz w:val="20"/>
                <w:szCs w:val="20"/>
              </w:rPr>
            </m:ctrlPr>
          </m:sSubPr>
          <m:e>
            <m:r>
              <w:rPr>
                <w:rFonts w:ascii="Cambria Math" w:hAnsi="Cambria Math" w:cs="Times New Roman"/>
                <w:color w:val="000000" w:themeColor="text1"/>
                <w:sz w:val="20"/>
                <w:szCs w:val="20"/>
              </w:rPr>
              <m:t>P</m:t>
            </m:r>
          </m:e>
          <m:sub>
            <m:r>
              <m:rPr>
                <m:nor/>
              </m:rPr>
              <w:rPr>
                <w:rFonts w:ascii="Times New Roman" w:hAnsi="Times New Roman" w:cs="Times New Roman"/>
                <w:color w:val="000000" w:themeColor="text1"/>
                <w:sz w:val="20"/>
                <w:szCs w:val="20"/>
              </w:rPr>
              <m:t>MAX</m:t>
            </m:r>
            <m:r>
              <m:rPr>
                <m:sty m:val="p"/>
              </m:rPr>
              <w:rPr>
                <w:rFonts w:ascii="Cambria Math" w:hAnsi="Cambria Math" w:cs="Times New Roman"/>
                <w:color w:val="000000" w:themeColor="text1"/>
                <w:sz w:val="20"/>
                <w:szCs w:val="20"/>
              </w:rPr>
              <m:t>,CBR</m:t>
            </m:r>
          </m:sub>
        </m:sSub>
      </m:oMath>
      <w:r w:rsidRPr="00FC274B">
        <w:rPr>
          <w:rFonts w:eastAsiaTheme="minorEastAsia"/>
          <w:b/>
          <w:i/>
          <w:color w:val="000000" w:themeColor="text1"/>
          <w:sz w:val="20"/>
          <w:szCs w:val="20"/>
        </w:rPr>
        <w:t xml:space="preserve"> applies only when UE is in mode 2.</w:t>
      </w:r>
    </w:p>
    <w:p w14:paraId="346E0E82" w14:textId="68138009" w:rsidR="00AC6DAA" w:rsidRPr="00AC6DAA" w:rsidRDefault="00AC6DAA" w:rsidP="00AC6DAA">
      <w:pPr>
        <w:spacing w:after="120"/>
        <w:rPr>
          <w:b/>
          <w:szCs w:val="20"/>
        </w:rPr>
      </w:pPr>
      <w:r>
        <w:rPr>
          <w:b/>
          <w:szCs w:val="20"/>
        </w:rPr>
        <w:t>References</w:t>
      </w:r>
    </w:p>
    <w:p w14:paraId="7D2F539C" w14:textId="6CCE798F" w:rsidR="00AC6DAA" w:rsidRPr="00204D5B" w:rsidRDefault="00AC6DAA" w:rsidP="00AC6DAA">
      <w:pPr>
        <w:pStyle w:val="BodyText"/>
        <w:rPr>
          <w:color w:val="000000" w:themeColor="text1"/>
          <w:sz w:val="20"/>
        </w:rPr>
      </w:pPr>
      <w:r>
        <w:rPr>
          <w:color w:val="000000" w:themeColor="text1"/>
          <w:sz w:val="20"/>
        </w:rPr>
        <w:t>[1] R1-2004663 “</w:t>
      </w:r>
      <w:r w:rsidRPr="00AC6DAA">
        <w:rPr>
          <w:color w:val="000000" w:themeColor="text1"/>
          <w:sz w:val="20"/>
        </w:rPr>
        <w:t>Summary#1 for AI 7.2.4.6 QoS management</w:t>
      </w:r>
      <w:r>
        <w:rPr>
          <w:color w:val="000000" w:themeColor="text1"/>
          <w:sz w:val="20"/>
        </w:rPr>
        <w:t>”, RAN1#101-e, Moderator (Nokia)</w:t>
      </w:r>
    </w:p>
    <w:p w14:paraId="6A5E0837" w14:textId="77777777" w:rsidR="00AC6DAA" w:rsidRPr="00B65BF9" w:rsidRDefault="00AC6DAA" w:rsidP="00AC6DAA">
      <w:pPr>
        <w:pStyle w:val="BodyText"/>
        <w:spacing w:after="240"/>
        <w:rPr>
          <w:rFonts w:eastAsiaTheme="minorEastAsia"/>
          <w:b/>
          <w:i/>
          <w:color w:val="auto"/>
          <w:sz w:val="20"/>
          <w:szCs w:val="20"/>
        </w:rPr>
      </w:pPr>
    </w:p>
    <w:sectPr w:rsidR="00AC6DAA" w:rsidRPr="00B65BF9">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12A10" w14:textId="77777777" w:rsidR="00E61115" w:rsidRDefault="00E61115" w:rsidP="00511BDE">
      <w:r>
        <w:separator/>
      </w:r>
    </w:p>
  </w:endnote>
  <w:endnote w:type="continuationSeparator" w:id="0">
    <w:p w14:paraId="38ADC1F2" w14:textId="77777777" w:rsidR="00E61115" w:rsidRDefault="00E61115"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CB0C1" w14:textId="77777777" w:rsidR="00E61115" w:rsidRDefault="00E61115" w:rsidP="00511BDE">
      <w:r>
        <w:separator/>
      </w:r>
    </w:p>
  </w:footnote>
  <w:footnote w:type="continuationSeparator" w:id="0">
    <w:p w14:paraId="402B2019" w14:textId="77777777" w:rsidR="00E61115" w:rsidRDefault="00E61115"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581D49"/>
    <w:multiLevelType w:val="hybridMultilevel"/>
    <w:tmpl w:val="559010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F79B4"/>
    <w:multiLevelType w:val="multilevel"/>
    <w:tmpl w:val="75607B4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3FF5F2B"/>
    <w:multiLevelType w:val="multilevel"/>
    <w:tmpl w:val="9EDE29B2"/>
    <w:lvl w:ilvl="0">
      <w:start w:val="7"/>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D7F72"/>
    <w:multiLevelType w:val="hybridMultilevel"/>
    <w:tmpl w:val="220EEB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1B93268"/>
    <w:multiLevelType w:val="hybridMultilevel"/>
    <w:tmpl w:val="D50EF2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24" w15:restartNumberingAfterBreak="0">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33"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25"/>
  </w:num>
  <w:num w:numId="4">
    <w:abstractNumId w:val="15"/>
  </w:num>
  <w:num w:numId="5">
    <w:abstractNumId w:val="4"/>
  </w:num>
  <w:num w:numId="6">
    <w:abstractNumId w:val="15"/>
  </w:num>
  <w:num w:numId="7">
    <w:abstractNumId w:val="15"/>
  </w:num>
  <w:num w:numId="8">
    <w:abstractNumId w:val="15"/>
  </w:num>
  <w:num w:numId="9">
    <w:abstractNumId w:val="15"/>
  </w:num>
  <w:num w:numId="10">
    <w:abstractNumId w:val="23"/>
  </w:num>
  <w:num w:numId="11">
    <w:abstractNumId w:val="27"/>
  </w:num>
  <w:num w:numId="12">
    <w:abstractNumId w:val="0"/>
  </w:num>
  <w:num w:numId="13">
    <w:abstractNumId w:val="1"/>
  </w:num>
  <w:num w:numId="14">
    <w:abstractNumId w:val="17"/>
  </w:num>
  <w:num w:numId="15">
    <w:abstractNumId w:val="18"/>
  </w:num>
  <w:num w:numId="16">
    <w:abstractNumId w:val="12"/>
  </w:num>
  <w:num w:numId="17">
    <w:abstractNumId w:val="10"/>
  </w:num>
  <w:num w:numId="18">
    <w:abstractNumId w:val="29"/>
  </w:num>
  <w:num w:numId="19">
    <w:abstractNumId w:val="31"/>
  </w:num>
  <w:num w:numId="20">
    <w:abstractNumId w:val="11"/>
  </w:num>
  <w:num w:numId="21">
    <w:abstractNumId w:val="32"/>
  </w:num>
  <w:num w:numId="22">
    <w:abstractNumId w:val="28"/>
  </w:num>
  <w:num w:numId="23">
    <w:abstractNumId w:val="30"/>
  </w:num>
  <w:num w:numId="24">
    <w:abstractNumId w:val="5"/>
  </w:num>
  <w:num w:numId="25">
    <w:abstractNumId w:val="24"/>
  </w:num>
  <w:num w:numId="26">
    <w:abstractNumId w:val="7"/>
  </w:num>
  <w:num w:numId="27">
    <w:abstractNumId w:val="14"/>
  </w:num>
  <w:num w:numId="28">
    <w:abstractNumId w:val="20"/>
  </w:num>
  <w:num w:numId="29">
    <w:abstractNumId w:val="3"/>
  </w:num>
  <w:num w:numId="30">
    <w:abstractNumId w:val="13"/>
  </w:num>
  <w:num w:numId="31">
    <w:abstractNumId w:val="19"/>
  </w:num>
  <w:num w:numId="32">
    <w:abstractNumId w:val="2"/>
  </w:num>
  <w:num w:numId="33">
    <w:abstractNumId w:val="16"/>
  </w:num>
  <w:num w:numId="34">
    <w:abstractNumId w:val="6"/>
  </w:num>
  <w:num w:numId="35">
    <w:abstractNumId w:val="33"/>
  </w:num>
  <w:num w:numId="36">
    <w:abstractNumId w:val="8"/>
  </w:num>
  <w:num w:numId="37">
    <w:abstractNumId w:val="22"/>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5589"/>
    <w:rsid w:val="00006EB6"/>
    <w:rsid w:val="00015C61"/>
    <w:rsid w:val="00023304"/>
    <w:rsid w:val="0002538A"/>
    <w:rsid w:val="00036438"/>
    <w:rsid w:val="000416C0"/>
    <w:rsid w:val="00046E6C"/>
    <w:rsid w:val="000606B7"/>
    <w:rsid w:val="000646BE"/>
    <w:rsid w:val="000824A2"/>
    <w:rsid w:val="00095CF1"/>
    <w:rsid w:val="00096409"/>
    <w:rsid w:val="000A2AA1"/>
    <w:rsid w:val="000A7BDE"/>
    <w:rsid w:val="000B1A8E"/>
    <w:rsid w:val="000E23FD"/>
    <w:rsid w:val="000F4718"/>
    <w:rsid w:val="001027FC"/>
    <w:rsid w:val="001110C2"/>
    <w:rsid w:val="0011674C"/>
    <w:rsid w:val="0011719E"/>
    <w:rsid w:val="00122C28"/>
    <w:rsid w:val="001234F4"/>
    <w:rsid w:val="00132CA4"/>
    <w:rsid w:val="00140CD4"/>
    <w:rsid w:val="00156000"/>
    <w:rsid w:val="00160871"/>
    <w:rsid w:val="00172616"/>
    <w:rsid w:val="0017666C"/>
    <w:rsid w:val="00183059"/>
    <w:rsid w:val="0018639A"/>
    <w:rsid w:val="0019045B"/>
    <w:rsid w:val="001A4177"/>
    <w:rsid w:val="001B28E6"/>
    <w:rsid w:val="001C4931"/>
    <w:rsid w:val="001C4A2A"/>
    <w:rsid w:val="001D18BB"/>
    <w:rsid w:val="001D6275"/>
    <w:rsid w:val="001E06F9"/>
    <w:rsid w:val="001E6977"/>
    <w:rsid w:val="001F5429"/>
    <w:rsid w:val="002010A4"/>
    <w:rsid w:val="00204D5B"/>
    <w:rsid w:val="00210230"/>
    <w:rsid w:val="00215094"/>
    <w:rsid w:val="002232D9"/>
    <w:rsid w:val="00224DF7"/>
    <w:rsid w:val="00225FD1"/>
    <w:rsid w:val="00227A56"/>
    <w:rsid w:val="002347E5"/>
    <w:rsid w:val="002512F3"/>
    <w:rsid w:val="00262374"/>
    <w:rsid w:val="00262DA4"/>
    <w:rsid w:val="00282ADD"/>
    <w:rsid w:val="00290D60"/>
    <w:rsid w:val="00290F4A"/>
    <w:rsid w:val="0029653E"/>
    <w:rsid w:val="002A0897"/>
    <w:rsid w:val="002A09BD"/>
    <w:rsid w:val="002A4183"/>
    <w:rsid w:val="002A6143"/>
    <w:rsid w:val="002B16EA"/>
    <w:rsid w:val="002D117C"/>
    <w:rsid w:val="002D7837"/>
    <w:rsid w:val="002E11B6"/>
    <w:rsid w:val="002F480D"/>
    <w:rsid w:val="00307A16"/>
    <w:rsid w:val="00311E4D"/>
    <w:rsid w:val="0031286C"/>
    <w:rsid w:val="00316B82"/>
    <w:rsid w:val="00322BBF"/>
    <w:rsid w:val="00327432"/>
    <w:rsid w:val="003524E5"/>
    <w:rsid w:val="00390468"/>
    <w:rsid w:val="00395A18"/>
    <w:rsid w:val="003A1784"/>
    <w:rsid w:val="003A4353"/>
    <w:rsid w:val="003A74CD"/>
    <w:rsid w:val="003C01A1"/>
    <w:rsid w:val="003C70F9"/>
    <w:rsid w:val="003E02C8"/>
    <w:rsid w:val="003F01D2"/>
    <w:rsid w:val="003F30AA"/>
    <w:rsid w:val="00407980"/>
    <w:rsid w:val="00412426"/>
    <w:rsid w:val="00416EEC"/>
    <w:rsid w:val="00420F6D"/>
    <w:rsid w:val="00421776"/>
    <w:rsid w:val="00422D2B"/>
    <w:rsid w:val="004263F7"/>
    <w:rsid w:val="00436D20"/>
    <w:rsid w:val="00437571"/>
    <w:rsid w:val="00443FFF"/>
    <w:rsid w:val="00446597"/>
    <w:rsid w:val="004547F5"/>
    <w:rsid w:val="004601A2"/>
    <w:rsid w:val="00460381"/>
    <w:rsid w:val="004630F7"/>
    <w:rsid w:val="00472914"/>
    <w:rsid w:val="00472CC7"/>
    <w:rsid w:val="004753C3"/>
    <w:rsid w:val="00476B10"/>
    <w:rsid w:val="00484DFD"/>
    <w:rsid w:val="004919B6"/>
    <w:rsid w:val="004A03BC"/>
    <w:rsid w:val="004A43AE"/>
    <w:rsid w:val="004B2974"/>
    <w:rsid w:val="004B302E"/>
    <w:rsid w:val="004D595C"/>
    <w:rsid w:val="004E7C9C"/>
    <w:rsid w:val="004F16DA"/>
    <w:rsid w:val="004F35D2"/>
    <w:rsid w:val="004F4ABD"/>
    <w:rsid w:val="0050292C"/>
    <w:rsid w:val="00507D3F"/>
    <w:rsid w:val="0051049B"/>
    <w:rsid w:val="00511BDE"/>
    <w:rsid w:val="00512895"/>
    <w:rsid w:val="00523A4F"/>
    <w:rsid w:val="00535D66"/>
    <w:rsid w:val="00536FA5"/>
    <w:rsid w:val="00545636"/>
    <w:rsid w:val="005532B9"/>
    <w:rsid w:val="00553532"/>
    <w:rsid w:val="005601BB"/>
    <w:rsid w:val="00561A1F"/>
    <w:rsid w:val="00563CA3"/>
    <w:rsid w:val="00570C83"/>
    <w:rsid w:val="0058130A"/>
    <w:rsid w:val="00582FFA"/>
    <w:rsid w:val="0059220D"/>
    <w:rsid w:val="0059271B"/>
    <w:rsid w:val="00594422"/>
    <w:rsid w:val="005A2293"/>
    <w:rsid w:val="005A3678"/>
    <w:rsid w:val="005A6174"/>
    <w:rsid w:val="005B2729"/>
    <w:rsid w:val="005B4285"/>
    <w:rsid w:val="005B5979"/>
    <w:rsid w:val="005C288B"/>
    <w:rsid w:val="005C7D1E"/>
    <w:rsid w:val="005D1637"/>
    <w:rsid w:val="005E3141"/>
    <w:rsid w:val="00606B8B"/>
    <w:rsid w:val="00622721"/>
    <w:rsid w:val="00624E53"/>
    <w:rsid w:val="006251B5"/>
    <w:rsid w:val="0063046B"/>
    <w:rsid w:val="00631E16"/>
    <w:rsid w:val="006432B0"/>
    <w:rsid w:val="00647615"/>
    <w:rsid w:val="00655F5A"/>
    <w:rsid w:val="006749EC"/>
    <w:rsid w:val="00677F23"/>
    <w:rsid w:val="00686047"/>
    <w:rsid w:val="00686CD4"/>
    <w:rsid w:val="00695CCB"/>
    <w:rsid w:val="006A2CAC"/>
    <w:rsid w:val="006A51DC"/>
    <w:rsid w:val="006A58CD"/>
    <w:rsid w:val="006B4A2B"/>
    <w:rsid w:val="006D38B7"/>
    <w:rsid w:val="006D4CD1"/>
    <w:rsid w:val="006E0CEC"/>
    <w:rsid w:val="006E1142"/>
    <w:rsid w:val="006F5CF2"/>
    <w:rsid w:val="007069E1"/>
    <w:rsid w:val="00714BC5"/>
    <w:rsid w:val="0071547E"/>
    <w:rsid w:val="00723C4C"/>
    <w:rsid w:val="00740B19"/>
    <w:rsid w:val="007429FF"/>
    <w:rsid w:val="00747683"/>
    <w:rsid w:val="00754F2C"/>
    <w:rsid w:val="00756A23"/>
    <w:rsid w:val="007579A2"/>
    <w:rsid w:val="0076660D"/>
    <w:rsid w:val="007736BB"/>
    <w:rsid w:val="007838AC"/>
    <w:rsid w:val="007871BD"/>
    <w:rsid w:val="00797939"/>
    <w:rsid w:val="007A15B3"/>
    <w:rsid w:val="007A430C"/>
    <w:rsid w:val="007A787E"/>
    <w:rsid w:val="007B0977"/>
    <w:rsid w:val="007C0507"/>
    <w:rsid w:val="007C39F8"/>
    <w:rsid w:val="007C5331"/>
    <w:rsid w:val="007D6B9A"/>
    <w:rsid w:val="007E0507"/>
    <w:rsid w:val="007E4754"/>
    <w:rsid w:val="00821B08"/>
    <w:rsid w:val="0082635C"/>
    <w:rsid w:val="00842B4E"/>
    <w:rsid w:val="00843929"/>
    <w:rsid w:val="008466AB"/>
    <w:rsid w:val="00852251"/>
    <w:rsid w:val="008542F0"/>
    <w:rsid w:val="0086661D"/>
    <w:rsid w:val="0086720B"/>
    <w:rsid w:val="00867503"/>
    <w:rsid w:val="00867E6A"/>
    <w:rsid w:val="0087035C"/>
    <w:rsid w:val="0087257C"/>
    <w:rsid w:val="00873221"/>
    <w:rsid w:val="008939A5"/>
    <w:rsid w:val="008A335B"/>
    <w:rsid w:val="008A5454"/>
    <w:rsid w:val="008A670B"/>
    <w:rsid w:val="008B7BA5"/>
    <w:rsid w:val="008C041D"/>
    <w:rsid w:val="008C3113"/>
    <w:rsid w:val="008D417B"/>
    <w:rsid w:val="008E12E9"/>
    <w:rsid w:val="008F22BA"/>
    <w:rsid w:val="008F6F85"/>
    <w:rsid w:val="009015A9"/>
    <w:rsid w:val="00905B49"/>
    <w:rsid w:val="00915471"/>
    <w:rsid w:val="00923CFE"/>
    <w:rsid w:val="00932048"/>
    <w:rsid w:val="009355A5"/>
    <w:rsid w:val="009408CB"/>
    <w:rsid w:val="009452C1"/>
    <w:rsid w:val="00947377"/>
    <w:rsid w:val="00947BB5"/>
    <w:rsid w:val="00973C1A"/>
    <w:rsid w:val="009766DD"/>
    <w:rsid w:val="00980EE0"/>
    <w:rsid w:val="0098464D"/>
    <w:rsid w:val="009962B2"/>
    <w:rsid w:val="009973A1"/>
    <w:rsid w:val="009A2560"/>
    <w:rsid w:val="009A5DA5"/>
    <w:rsid w:val="009B1DF9"/>
    <w:rsid w:val="009B1F2E"/>
    <w:rsid w:val="009B3062"/>
    <w:rsid w:val="009C3461"/>
    <w:rsid w:val="009C5678"/>
    <w:rsid w:val="009C79F1"/>
    <w:rsid w:val="009D03B1"/>
    <w:rsid w:val="009D1E50"/>
    <w:rsid w:val="009D7E42"/>
    <w:rsid w:val="009F1A8D"/>
    <w:rsid w:val="009F3F8F"/>
    <w:rsid w:val="00A028D8"/>
    <w:rsid w:val="00A03E4B"/>
    <w:rsid w:val="00A34419"/>
    <w:rsid w:val="00A37703"/>
    <w:rsid w:val="00A40928"/>
    <w:rsid w:val="00A42D3B"/>
    <w:rsid w:val="00A51B85"/>
    <w:rsid w:val="00A52CFF"/>
    <w:rsid w:val="00A54461"/>
    <w:rsid w:val="00A559E1"/>
    <w:rsid w:val="00A56438"/>
    <w:rsid w:val="00A6343C"/>
    <w:rsid w:val="00A71DA6"/>
    <w:rsid w:val="00A73D0D"/>
    <w:rsid w:val="00A74298"/>
    <w:rsid w:val="00A75446"/>
    <w:rsid w:val="00A76D8F"/>
    <w:rsid w:val="00A82BB2"/>
    <w:rsid w:val="00A8338A"/>
    <w:rsid w:val="00A956A2"/>
    <w:rsid w:val="00A9698A"/>
    <w:rsid w:val="00AA051F"/>
    <w:rsid w:val="00AA57E5"/>
    <w:rsid w:val="00AB022F"/>
    <w:rsid w:val="00AB4A92"/>
    <w:rsid w:val="00AC031E"/>
    <w:rsid w:val="00AC3DEB"/>
    <w:rsid w:val="00AC5E18"/>
    <w:rsid w:val="00AC6DAA"/>
    <w:rsid w:val="00AD1673"/>
    <w:rsid w:val="00AE38BB"/>
    <w:rsid w:val="00AE3D30"/>
    <w:rsid w:val="00AF683C"/>
    <w:rsid w:val="00AF7D73"/>
    <w:rsid w:val="00B04603"/>
    <w:rsid w:val="00B066C3"/>
    <w:rsid w:val="00B076E7"/>
    <w:rsid w:val="00B22099"/>
    <w:rsid w:val="00B23EA2"/>
    <w:rsid w:val="00B30E14"/>
    <w:rsid w:val="00B4302D"/>
    <w:rsid w:val="00B50FA5"/>
    <w:rsid w:val="00B516E2"/>
    <w:rsid w:val="00B63125"/>
    <w:rsid w:val="00B65BF9"/>
    <w:rsid w:val="00B72B9C"/>
    <w:rsid w:val="00B73030"/>
    <w:rsid w:val="00B91216"/>
    <w:rsid w:val="00B94420"/>
    <w:rsid w:val="00BB1780"/>
    <w:rsid w:val="00BB1965"/>
    <w:rsid w:val="00BC0557"/>
    <w:rsid w:val="00BD2B3D"/>
    <w:rsid w:val="00BD6D85"/>
    <w:rsid w:val="00BE2478"/>
    <w:rsid w:val="00BE2A3B"/>
    <w:rsid w:val="00BE4DC5"/>
    <w:rsid w:val="00C013C8"/>
    <w:rsid w:val="00C049D1"/>
    <w:rsid w:val="00C144FC"/>
    <w:rsid w:val="00C26A2D"/>
    <w:rsid w:val="00C305C2"/>
    <w:rsid w:val="00C31FF2"/>
    <w:rsid w:val="00C352D1"/>
    <w:rsid w:val="00C35EC9"/>
    <w:rsid w:val="00C412C7"/>
    <w:rsid w:val="00C51B72"/>
    <w:rsid w:val="00C5569D"/>
    <w:rsid w:val="00C65F81"/>
    <w:rsid w:val="00C70162"/>
    <w:rsid w:val="00CA0AA3"/>
    <w:rsid w:val="00CA5F3B"/>
    <w:rsid w:val="00CB2B91"/>
    <w:rsid w:val="00CC051B"/>
    <w:rsid w:val="00CC7811"/>
    <w:rsid w:val="00CD6B1B"/>
    <w:rsid w:val="00CD7525"/>
    <w:rsid w:val="00CE1122"/>
    <w:rsid w:val="00CE577E"/>
    <w:rsid w:val="00CF0B12"/>
    <w:rsid w:val="00D01D49"/>
    <w:rsid w:val="00D03439"/>
    <w:rsid w:val="00D03C39"/>
    <w:rsid w:val="00D12DF2"/>
    <w:rsid w:val="00D1518D"/>
    <w:rsid w:val="00D22BB4"/>
    <w:rsid w:val="00D3245A"/>
    <w:rsid w:val="00D34D2E"/>
    <w:rsid w:val="00D435E6"/>
    <w:rsid w:val="00D4683D"/>
    <w:rsid w:val="00D562C7"/>
    <w:rsid w:val="00D715A7"/>
    <w:rsid w:val="00D71A65"/>
    <w:rsid w:val="00D71B94"/>
    <w:rsid w:val="00D817AF"/>
    <w:rsid w:val="00D91153"/>
    <w:rsid w:val="00D92E2E"/>
    <w:rsid w:val="00DA4FAB"/>
    <w:rsid w:val="00DA5222"/>
    <w:rsid w:val="00DB2D42"/>
    <w:rsid w:val="00DC1F83"/>
    <w:rsid w:val="00DC39EC"/>
    <w:rsid w:val="00DD2240"/>
    <w:rsid w:val="00DE619F"/>
    <w:rsid w:val="00DE6987"/>
    <w:rsid w:val="00DF790C"/>
    <w:rsid w:val="00E06FEF"/>
    <w:rsid w:val="00E10019"/>
    <w:rsid w:val="00E118B0"/>
    <w:rsid w:val="00E14C15"/>
    <w:rsid w:val="00E15ABB"/>
    <w:rsid w:val="00E23402"/>
    <w:rsid w:val="00E339F4"/>
    <w:rsid w:val="00E61115"/>
    <w:rsid w:val="00E61E35"/>
    <w:rsid w:val="00E64289"/>
    <w:rsid w:val="00E64515"/>
    <w:rsid w:val="00E926B4"/>
    <w:rsid w:val="00E93218"/>
    <w:rsid w:val="00E96E5D"/>
    <w:rsid w:val="00EB013E"/>
    <w:rsid w:val="00EC7F7E"/>
    <w:rsid w:val="00ED5069"/>
    <w:rsid w:val="00EE2CBB"/>
    <w:rsid w:val="00EE3CC6"/>
    <w:rsid w:val="00EE40AD"/>
    <w:rsid w:val="00EE772B"/>
    <w:rsid w:val="00EF0257"/>
    <w:rsid w:val="00EF6EF2"/>
    <w:rsid w:val="00F04F5B"/>
    <w:rsid w:val="00F10BED"/>
    <w:rsid w:val="00F12B44"/>
    <w:rsid w:val="00F140EB"/>
    <w:rsid w:val="00F20722"/>
    <w:rsid w:val="00F43AB1"/>
    <w:rsid w:val="00F445AF"/>
    <w:rsid w:val="00F52ACA"/>
    <w:rsid w:val="00F5580C"/>
    <w:rsid w:val="00F5749B"/>
    <w:rsid w:val="00F66C98"/>
    <w:rsid w:val="00F74160"/>
    <w:rsid w:val="00F743E3"/>
    <w:rsid w:val="00F74466"/>
    <w:rsid w:val="00F92EC0"/>
    <w:rsid w:val="00F95D08"/>
    <w:rsid w:val="00FA0D39"/>
    <w:rsid w:val="00FA1B27"/>
    <w:rsid w:val="00FA5B50"/>
    <w:rsid w:val="00FB6004"/>
    <w:rsid w:val="00FC274B"/>
    <w:rsid w:val="00FC2FFE"/>
    <w:rsid w:val="00FD1C3C"/>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
    <w:basedOn w:val="Normal"/>
    <w:next w:val="Normal"/>
    <w:link w:val="Heading1Char"/>
    <w:qFormat/>
    <w:rsid w:val="00E96E5D"/>
    <w:pPr>
      <w:widowControl w:val="0"/>
      <w:numPr>
        <w:numId w:val="21"/>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2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E96E5D"/>
    <w:pPr>
      <w:numPr>
        <w:ilvl w:val="3"/>
      </w:numPr>
      <w:outlineLvl w:val="3"/>
    </w:pPr>
    <w:rPr>
      <w:i/>
    </w:rPr>
  </w:style>
  <w:style w:type="paragraph" w:styleId="Heading5">
    <w:name w:val="heading 5"/>
    <w:basedOn w:val="Heading4"/>
    <w:next w:val="Normal"/>
    <w:link w:val="Heading5Char"/>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96E5D"/>
    <w:pPr>
      <w:numPr>
        <w:ilvl w:val="5"/>
        <w:numId w:val="2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96E5D"/>
    <w:pPr>
      <w:numPr>
        <w:ilvl w:val="6"/>
        <w:numId w:val="2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96E5D"/>
    <w:pPr>
      <w:numPr>
        <w:ilvl w:val="7"/>
        <w:numId w:val="2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96E5D"/>
    <w:pPr>
      <w:numPr>
        <w:ilvl w:val="8"/>
        <w:numId w:val="2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695CCB"/>
    <w:rPr>
      <w:rFonts w:ascii="Arial" w:eastAsia="SimSun" w:hAnsi="Arial" w:cs="Arial"/>
      <w:i/>
      <w:iCs/>
      <w:color w:val="44546A" w:themeColor="text2"/>
      <w:sz w:val="18"/>
      <w:szCs w:val="18"/>
      <w:lang w:val="en-GB"/>
    </w:rPr>
  </w:style>
  <w:style w:type="paragraph" w:customStyle="1" w:styleId="B1">
    <w:name w:val="B1"/>
    <w:basedOn w:val="List"/>
    <w:link w:val="B1Zchn"/>
    <w:qFormat/>
    <w:rsid w:val="00695CCB"/>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eastAsia="ko-KR"/>
    </w:rPr>
  </w:style>
  <w:style w:type="character" w:customStyle="1" w:styleId="B1Zchn">
    <w:name w:val="B1 Zchn"/>
    <w:link w:val="B1"/>
    <w:qFormat/>
    <w:rsid w:val="00695CCB"/>
    <w:rPr>
      <w:rFonts w:ascii="Times New Roman" w:eastAsia="Times New Roman" w:hAnsi="Times New Roman" w:cs="Times New Roman"/>
      <w:sz w:val="20"/>
      <w:szCs w:val="20"/>
      <w:lang w:val="en-GB" w:eastAsia="ko-KR"/>
    </w:rPr>
  </w:style>
  <w:style w:type="paragraph" w:customStyle="1" w:styleId="NO">
    <w:name w:val="NO"/>
    <w:basedOn w:val="Normal"/>
    <w:link w:val="NOChar"/>
    <w:rsid w:val="00695CCB"/>
    <w:pPr>
      <w:keepLines/>
      <w:overflowPunct w:val="0"/>
      <w:autoSpaceDE w:val="0"/>
      <w:autoSpaceDN w:val="0"/>
      <w:adjustRightInd w:val="0"/>
      <w:spacing w:after="180"/>
      <w:ind w:left="1135" w:hanging="851"/>
      <w:jc w:val="left"/>
      <w:textAlignment w:val="baseline"/>
    </w:pPr>
    <w:rPr>
      <w:rFonts w:ascii="Times New Roman" w:hAnsi="Times New Roman" w:cs="Times New Roman"/>
      <w:sz w:val="20"/>
      <w:szCs w:val="20"/>
      <w:lang w:eastAsia="ja-JP"/>
    </w:rPr>
  </w:style>
  <w:style w:type="character" w:customStyle="1" w:styleId="NOChar">
    <w:name w:val="NO Char"/>
    <w:link w:val="NO"/>
    <w:rsid w:val="00695CCB"/>
    <w:rPr>
      <w:rFonts w:ascii="Times New Roman" w:eastAsia="SimSun" w:hAnsi="Times New Roman" w:cs="Times New Roman"/>
      <w:sz w:val="20"/>
      <w:szCs w:val="20"/>
      <w:lang w:val="en-GB" w:eastAsia="ja-JP"/>
    </w:rPr>
  </w:style>
  <w:style w:type="paragraph" w:customStyle="1" w:styleId="StyleHeading1NMPHeading1H1h11h12h13h14h15h16appheadin">
    <w:name w:val="Style Heading 1NMP Heading 1H1h11h12h13h14h15h16app headin..."/>
    <w:basedOn w:val="Heading1"/>
    <w:rsid w:val="00695CCB"/>
    <w:pPr>
      <w:keepNext/>
      <w:widowControl/>
      <w:numPr>
        <w:numId w:val="22"/>
      </w:numPr>
    </w:pPr>
    <w:rPr>
      <w:rFonts w:cs="Arial"/>
      <w:sz w:val="28"/>
      <w:lang w:eastAsia="en-US"/>
    </w:rPr>
  </w:style>
  <w:style w:type="character" w:customStyle="1" w:styleId="TALCar">
    <w:name w:val="TAL Car"/>
    <w:link w:val="TAL"/>
    <w:locked/>
    <w:rsid w:val="00695CCB"/>
    <w:rPr>
      <w:rFonts w:ascii="Arial" w:hAnsi="Arial" w:cs="Arial"/>
      <w:color w:val="0000FF"/>
      <w:kern w:val="2"/>
      <w:sz w:val="18"/>
      <w:lang w:val="en-GB" w:eastAsia="en-US"/>
    </w:rPr>
  </w:style>
  <w:style w:type="paragraph" w:customStyle="1" w:styleId="TAL">
    <w:name w:val="TAL"/>
    <w:basedOn w:val="Normal"/>
    <w:link w:val="TALCar"/>
    <w:rsid w:val="00695CCB"/>
    <w:pPr>
      <w:keepNext/>
      <w:keepLines/>
      <w:jc w:val="left"/>
    </w:pPr>
    <w:rPr>
      <w:rFonts w:eastAsiaTheme="minorEastAsia"/>
      <w:color w:val="0000FF"/>
      <w:kern w:val="2"/>
      <w:sz w:val="18"/>
      <w:szCs w:val="22"/>
      <w:lang w:eastAsia="en-US"/>
    </w:rPr>
  </w:style>
  <w:style w:type="paragraph" w:styleId="List">
    <w:name w:val="List"/>
    <w:basedOn w:val="Normal"/>
    <w:uiPriority w:val="99"/>
    <w:semiHidden/>
    <w:unhideWhenUsed/>
    <w:rsid w:val="00695CCB"/>
    <w:pPr>
      <w:ind w:left="283" w:hanging="283"/>
      <w:contextualSpacing/>
    </w:pPr>
  </w:style>
  <w:style w:type="paragraph" w:customStyle="1" w:styleId="EQ">
    <w:name w:val="EQ"/>
    <w:basedOn w:val="Normal"/>
    <w:next w:val="Normal"/>
    <w:qFormat/>
    <w:rsid w:val="00AC6DAA"/>
    <w:pPr>
      <w:keepLines/>
      <w:tabs>
        <w:tab w:val="center" w:pos="4536"/>
        <w:tab w:val="right" w:pos="9072"/>
      </w:tabs>
      <w:spacing w:after="180"/>
      <w:jc w:val="left"/>
    </w:pPr>
    <w:rPr>
      <w:rFonts w:ascii="Times New Roman" w:hAnsi="Times New Roman" w:cs="Times New Roman"/>
      <w:noProo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231617">
      <w:bodyDiv w:val="1"/>
      <w:marLeft w:val="0"/>
      <w:marRight w:val="0"/>
      <w:marTop w:val="0"/>
      <w:marBottom w:val="0"/>
      <w:divBdr>
        <w:top w:val="none" w:sz="0" w:space="0" w:color="auto"/>
        <w:left w:val="none" w:sz="0" w:space="0" w:color="auto"/>
        <w:bottom w:val="none" w:sz="0" w:space="0" w:color="auto"/>
        <w:right w:val="none" w:sz="0" w:space="0" w:color="auto"/>
      </w:divBdr>
    </w:div>
    <w:div w:id="255948148">
      <w:bodyDiv w:val="1"/>
      <w:marLeft w:val="0"/>
      <w:marRight w:val="0"/>
      <w:marTop w:val="0"/>
      <w:marBottom w:val="0"/>
      <w:divBdr>
        <w:top w:val="none" w:sz="0" w:space="0" w:color="auto"/>
        <w:left w:val="none" w:sz="0" w:space="0" w:color="auto"/>
        <w:bottom w:val="none" w:sz="0" w:space="0" w:color="auto"/>
        <w:right w:val="none" w:sz="0" w:space="0" w:color="auto"/>
      </w:divBdr>
    </w:div>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64B72-6ABF-420C-B0DA-9825179DC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544</Words>
  <Characters>3105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Remaining open issues in QoS management</vt:lpstr>
    </vt:vector>
  </TitlesOfParts>
  <Company>Guangdong OPPO Mobile Telecom</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in QoS management</dc:title>
  <dc:subject>NR-V2X</dc:subject>
  <dc:creator>Kevin.Lin@oppo.com</dc:creator>
  <cp:keywords>RAN1#102-e</cp:keywords>
  <dc:description>Final version for submission</dc:description>
  <cp:lastModifiedBy>Kevin Lin</cp:lastModifiedBy>
  <cp:revision>13</cp:revision>
  <cp:lastPrinted>2020-02-08T03:10:00Z</cp:lastPrinted>
  <dcterms:created xsi:type="dcterms:W3CDTF">2020-04-10T09:23:00Z</dcterms:created>
  <dcterms:modified xsi:type="dcterms:W3CDTF">2020-08-07T07:02:00Z</dcterms:modified>
  <cp:category>QoS management</cp:category>
</cp:coreProperties>
</file>